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p>
    <w:p>
      <w:pPr>
        <w:spacing w:line="700" w:lineRule="exact"/>
        <w:jc w:val="center"/>
        <w:rPr>
          <w:rFonts w:hint="eastAsia" w:ascii="小标宋" w:hAnsi="仿宋_GB2312" w:eastAsia="小标宋"/>
          <w:sz w:val="44"/>
          <w:szCs w:val="44"/>
        </w:rPr>
      </w:pPr>
      <w:r>
        <w:rPr>
          <w:rFonts w:hint="eastAsia" w:ascii="小标宋" w:hAnsi="仿宋_GB2312" w:eastAsia="小标宋"/>
          <w:sz w:val="44"/>
          <w:szCs w:val="44"/>
        </w:rPr>
        <w:t>关于征集“人工智能+”应用场景</w:t>
      </w:r>
    </w:p>
    <w:p>
      <w:pPr>
        <w:spacing w:line="700" w:lineRule="exact"/>
        <w:jc w:val="center"/>
        <w:rPr>
          <w:rFonts w:ascii="小标宋" w:hAnsi="仿宋_GB2312" w:eastAsia="小标宋"/>
          <w:sz w:val="44"/>
          <w:szCs w:val="44"/>
        </w:rPr>
      </w:pPr>
      <w:r>
        <w:rPr>
          <w:rFonts w:hint="eastAsia" w:ascii="小标宋" w:hAnsi="仿宋_GB2312" w:eastAsia="小标宋"/>
          <w:sz w:val="44"/>
          <w:szCs w:val="44"/>
        </w:rPr>
        <w:t>典型案例展展品的通知</w:t>
      </w:r>
    </w:p>
    <w:p>
      <w:pPr>
        <w:spacing w:line="580" w:lineRule="exact"/>
        <w:rPr>
          <w:rFonts w:ascii="仿宋_GB2312" w:hAnsi="仿宋_GB2312" w:eastAsia="仿宋_GB2312"/>
          <w:sz w:val="32"/>
          <w:szCs w:val="32"/>
        </w:rPr>
      </w:pPr>
    </w:p>
    <w:p>
      <w:pPr>
        <w:spacing w:line="560" w:lineRule="exact"/>
        <w:rPr>
          <w:rFonts w:ascii="小标宋" w:hAnsi="小标宋" w:eastAsia="小标宋" w:cs="小标宋"/>
          <w:sz w:val="44"/>
          <w:szCs w:val="44"/>
        </w:rPr>
      </w:pPr>
      <w:r>
        <w:rPr>
          <w:rFonts w:hint="eastAsia" w:ascii="仿宋_GB2312" w:hAnsi="仿宋_GB2312" w:eastAsia="仿宋_GB2312"/>
          <w:sz w:val="32"/>
          <w:szCs w:val="32"/>
        </w:rPr>
        <w:t>各省、自治区、直辖市科协企业工作部门，新疆生产建设兵团科协企业工作部门，各有关园区科协、企业科协</w:t>
      </w:r>
      <w:r>
        <w:rPr>
          <w:rFonts w:hint="eastAsia" w:ascii="仿宋_GB2312" w:hAnsi="仿宋_GB2312" w:eastAsia="仿宋_GB2312"/>
          <w:sz w:val="32"/>
          <w:szCs w:val="32"/>
          <w:lang w:eastAsia="zh-CN"/>
        </w:rPr>
        <w:t>、农技协</w:t>
      </w:r>
      <w:r>
        <w:rPr>
          <w:rFonts w:hint="eastAsia" w:ascii="仿宋_GB2312" w:hAnsi="仿宋_GB2312" w:eastAsia="仿宋_GB2312"/>
          <w:sz w:val="32"/>
          <w:szCs w:val="32"/>
        </w:rPr>
        <w:t>，各相关全国学会</w:t>
      </w:r>
      <w:r>
        <w:rPr>
          <w:rFonts w:hint="eastAsia" w:ascii="仿宋_GB2312" w:hAnsi="仿宋_GB2312" w:eastAsia="仿宋_GB2312"/>
          <w:sz w:val="32"/>
          <w:szCs w:val="32"/>
          <w:lang w:eastAsia="zh-CN"/>
        </w:rPr>
        <w:t>秘书处</w:t>
      </w:r>
      <w:r>
        <w:rPr>
          <w:rFonts w:hint="eastAsia" w:ascii="仿宋_GB2312" w:hAnsi="仿宋_GB2312" w:eastAsia="仿宋_GB2312"/>
          <w:sz w:val="32"/>
          <w:szCs w:val="32"/>
        </w:rPr>
        <w:t>，各有关单位：</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为贯彻落实党的二十</w:t>
      </w:r>
      <w:r>
        <w:rPr>
          <w:rFonts w:hint="eastAsia" w:ascii="仿宋_GB2312" w:hAnsi="仿宋_GB2312" w:eastAsia="仿宋_GB2312" w:cs="仿宋_GB2312"/>
          <w:color w:val="000000"/>
          <w:kern w:val="0"/>
          <w:sz w:val="32"/>
          <w:szCs w:val="32"/>
          <w:lang w:eastAsia="zh-CN" w:bidi="ar"/>
        </w:rPr>
        <w:t>大和二十</w:t>
      </w:r>
      <w:r>
        <w:rPr>
          <w:rFonts w:hint="eastAsia" w:ascii="仿宋_GB2312" w:hAnsi="仿宋_GB2312" w:eastAsia="仿宋_GB2312" w:cs="仿宋_GB2312"/>
          <w:color w:val="000000"/>
          <w:kern w:val="0"/>
          <w:sz w:val="32"/>
          <w:szCs w:val="32"/>
          <w:lang w:bidi="ar"/>
        </w:rPr>
        <w:t>届</w:t>
      </w:r>
      <w:r>
        <w:rPr>
          <w:rFonts w:hint="eastAsia" w:ascii="仿宋_GB2312" w:hAnsi="仿宋_GB2312" w:eastAsia="仿宋_GB2312" w:cs="仿宋_GB2312"/>
          <w:color w:val="000000"/>
          <w:kern w:val="0"/>
          <w:sz w:val="32"/>
          <w:szCs w:val="32"/>
          <w:lang w:eastAsia="zh-CN" w:bidi="ar"/>
        </w:rPr>
        <w:t>历次</w:t>
      </w:r>
      <w:r>
        <w:rPr>
          <w:rFonts w:hint="eastAsia" w:ascii="仿宋_GB2312" w:hAnsi="仿宋_GB2312" w:eastAsia="仿宋_GB2312" w:cs="仿宋_GB2312"/>
          <w:color w:val="000000"/>
          <w:kern w:val="0"/>
          <w:sz w:val="32"/>
          <w:szCs w:val="32"/>
          <w:lang w:bidi="ar"/>
        </w:rPr>
        <w:t>全会精神，</w:t>
      </w:r>
      <w:r>
        <w:rPr>
          <w:rFonts w:hint="eastAsia" w:ascii="仿宋_GB2312" w:hAnsi="仿宋_GB2312" w:eastAsia="仿宋_GB2312" w:cs="仿宋_GB2312"/>
          <w:color w:val="000000"/>
          <w:kern w:val="0"/>
          <w:sz w:val="32"/>
          <w:szCs w:val="32"/>
          <w:lang w:val="en-US" w:eastAsia="zh-CN" w:bidi="ar"/>
        </w:rPr>
        <w:t>深入贯彻习近平总书记关于发展人工智能技术的重要指示批示精神，</w:t>
      </w:r>
      <w:r>
        <w:rPr>
          <w:rFonts w:hint="eastAsia" w:ascii="仿宋_GB2312" w:hAnsi="仿宋_GB2312" w:eastAsia="仿宋_GB2312" w:cs="仿宋_GB2312"/>
          <w:color w:val="000000"/>
          <w:kern w:val="0"/>
          <w:sz w:val="32"/>
          <w:szCs w:val="32"/>
          <w:lang w:eastAsia="zh-CN" w:bidi="ar"/>
        </w:rPr>
        <w:t>中国科协</w:t>
      </w:r>
      <w:r>
        <w:rPr>
          <w:rFonts w:hint="eastAsia" w:ascii="仿宋_GB2312" w:hAnsi="仿宋_GB2312" w:eastAsia="仿宋_GB2312" w:cs="仿宋_GB2312"/>
          <w:color w:val="000000"/>
          <w:kern w:val="0"/>
          <w:sz w:val="32"/>
          <w:szCs w:val="32"/>
          <w:lang w:bidi="ar"/>
        </w:rPr>
        <w:t>连续成功举办2024年“创新谋发展，科普向心力”新质生产力科普展、2025年“</w:t>
      </w:r>
      <w:r>
        <w:rPr>
          <w:rFonts w:hint="eastAsia" w:ascii="仿宋_GB2312" w:hAnsi="仿宋_GB2312" w:eastAsia="仿宋_GB2312" w:cs="仿宋_GB2312"/>
          <w:color w:val="000000"/>
          <w:kern w:val="0"/>
          <w:sz w:val="32"/>
          <w:szCs w:val="32"/>
          <w:lang w:eastAsia="zh-CN" w:bidi="ar"/>
        </w:rPr>
        <w:t>人工智能</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eastAsia="zh-CN" w:bidi="ar"/>
        </w:rPr>
        <w:t>科技创新产品科普展（科技与现代文明同行体验展）等，中央电视台等主流媒体报道，取得社会广泛关注和影响。在此</w:t>
      </w:r>
      <w:r>
        <w:rPr>
          <w:rFonts w:hint="eastAsia" w:ascii="仿宋_GB2312" w:hAnsi="仿宋_GB2312" w:eastAsia="仿宋_GB2312" w:cs="仿宋_GB2312"/>
          <w:color w:val="000000"/>
          <w:kern w:val="0"/>
          <w:sz w:val="32"/>
          <w:szCs w:val="32"/>
          <w:lang w:bidi="ar"/>
        </w:rPr>
        <w:t>基础上，中国科协与新疆维吾尔自治区人民政府拟于2026年4月下旬</w:t>
      </w:r>
      <w:r>
        <w:rPr>
          <w:rFonts w:hint="eastAsia" w:ascii="仿宋_GB2312" w:hAnsi="仿宋_GB2312" w:eastAsia="仿宋_GB2312" w:cs="仿宋_GB2312"/>
          <w:color w:val="000000"/>
          <w:kern w:val="0"/>
          <w:sz w:val="32"/>
          <w:szCs w:val="32"/>
          <w:lang w:eastAsia="zh-CN" w:bidi="ar"/>
        </w:rPr>
        <w:t>在</w:t>
      </w:r>
      <w:r>
        <w:rPr>
          <w:rFonts w:hint="eastAsia" w:ascii="仿宋_GB2312" w:hAnsi="仿宋_GB2312" w:eastAsia="仿宋_GB2312" w:cs="仿宋_GB2312"/>
          <w:color w:val="000000"/>
          <w:kern w:val="0"/>
          <w:sz w:val="32"/>
          <w:szCs w:val="32"/>
          <w:lang w:bidi="ar"/>
        </w:rPr>
        <w:t>新疆举办“人工智能+”应用场景典型案例展</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i w:val="0"/>
          <w:iCs w:val="0"/>
          <w:caps w:val="0"/>
          <w:color w:val="000000"/>
          <w:spacing w:val="0"/>
          <w:sz w:val="32"/>
          <w:szCs w:val="32"/>
          <w:shd w:val="clear"/>
          <w:lang w:bidi="ar"/>
        </w:rPr>
        <w:t>本次展览旨在</w:t>
      </w:r>
      <w:r>
        <w:rPr>
          <w:rFonts w:hint="eastAsia" w:ascii="仿宋_GB2312" w:hAnsi="仿宋_GB2312" w:eastAsia="仿宋_GB2312" w:cs="仿宋_GB2312"/>
          <w:color w:val="000000"/>
          <w:kern w:val="0"/>
          <w:sz w:val="32"/>
          <w:szCs w:val="32"/>
          <w:lang w:bidi="ar"/>
        </w:rPr>
        <w:t>通过典型案例和实物展品，</w:t>
      </w:r>
      <w:r>
        <w:rPr>
          <w:rFonts w:hint="eastAsia" w:ascii="仿宋_GB2312" w:hAnsi="仿宋_GB2312" w:eastAsia="仿宋_GB2312" w:cs="仿宋_GB2312"/>
          <w:color w:val="000000"/>
          <w:kern w:val="0"/>
          <w:sz w:val="32"/>
          <w:szCs w:val="32"/>
          <w:lang w:val="en-US" w:eastAsia="zh-CN" w:bidi="ar"/>
        </w:rPr>
        <w:t>推动</w:t>
      </w:r>
      <w:r>
        <w:rPr>
          <w:rFonts w:hint="eastAsia" w:ascii="仿宋_GB2312" w:hAnsi="仿宋_GB2312" w:eastAsia="仿宋_GB2312" w:cs="仿宋_GB2312"/>
          <w:color w:val="000000"/>
          <w:kern w:val="0"/>
          <w:sz w:val="32"/>
          <w:szCs w:val="32"/>
          <w:lang w:bidi="ar"/>
        </w:rPr>
        <w:t>人工智能技术赋能千行百业，</w:t>
      </w:r>
      <w:r>
        <w:rPr>
          <w:rFonts w:hint="eastAsia" w:ascii="仿宋_GB2312" w:hAnsi="仿宋_GB2312" w:eastAsia="仿宋_GB2312" w:cs="仿宋_GB2312"/>
          <w:color w:val="000000"/>
          <w:kern w:val="0"/>
          <w:sz w:val="32"/>
          <w:szCs w:val="32"/>
          <w:lang w:eastAsia="zh-CN" w:bidi="ar"/>
        </w:rPr>
        <w:t>特别是</w:t>
      </w:r>
      <w:r>
        <w:rPr>
          <w:rFonts w:hint="eastAsia" w:ascii="仿宋_GB2312" w:hAnsi="仿宋_GB2312" w:eastAsia="仿宋_GB2312" w:cs="仿宋_GB2312"/>
          <w:color w:val="000000"/>
          <w:kern w:val="0"/>
          <w:sz w:val="32"/>
          <w:szCs w:val="32"/>
          <w:lang w:bidi="ar"/>
        </w:rPr>
        <w:t>助力新疆经济社会高质量发展，加快形成人机协同、跨界融合、共创分享的智能经济和智能社会新形态</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现面向全国</w:t>
      </w:r>
      <w:r>
        <w:rPr>
          <w:rFonts w:hint="eastAsia" w:ascii="仿宋_GB2312" w:hAnsi="仿宋_GB2312" w:eastAsia="仿宋_GB2312" w:cs="仿宋_GB2312"/>
          <w:color w:val="000000"/>
          <w:kern w:val="0"/>
          <w:sz w:val="32"/>
          <w:szCs w:val="32"/>
          <w:lang w:val="en-US" w:eastAsia="zh-CN" w:bidi="ar"/>
        </w:rPr>
        <w:t>有关单位</w:t>
      </w:r>
      <w:r>
        <w:rPr>
          <w:rFonts w:hint="eastAsia" w:ascii="仿宋_GB2312" w:hAnsi="仿宋_GB2312" w:eastAsia="仿宋_GB2312" w:cs="仿宋_GB2312"/>
          <w:color w:val="000000"/>
          <w:kern w:val="0"/>
          <w:sz w:val="32"/>
          <w:szCs w:val="32"/>
          <w:lang w:bidi="ar"/>
        </w:rPr>
        <w:t>征集参展展品，有关事项通知如下：</w:t>
      </w:r>
    </w:p>
    <w:p>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一、展览主题</w:t>
      </w:r>
    </w:p>
    <w:p>
      <w:pPr>
        <w:spacing w:line="560" w:lineRule="exact"/>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人工智能 </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val="en-US" w:eastAsia="zh-CN" w:bidi="ar"/>
        </w:rPr>
        <w:t>兴疆百业</w:t>
      </w:r>
    </w:p>
    <w:p>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二、展出时间和地点</w:t>
      </w:r>
    </w:p>
    <w:p>
      <w:pPr>
        <w:spacing w:line="560" w:lineRule="exact"/>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时间：202</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val="en-US" w:eastAsia="zh-CN" w:bidi="ar"/>
        </w:rPr>
        <w:t>4月下旬</w:t>
      </w:r>
    </w:p>
    <w:p>
      <w:pPr>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地点：</w:t>
      </w:r>
      <w:r>
        <w:rPr>
          <w:rFonts w:hint="eastAsia" w:ascii="仿宋_GB2312" w:hAnsi="仿宋_GB2312" w:eastAsia="仿宋_GB2312"/>
          <w:color w:val="000000"/>
          <w:kern w:val="0"/>
          <w:sz w:val="32"/>
          <w:szCs w:val="32"/>
          <w:lang w:val="en-US" w:eastAsia="zh-CN"/>
        </w:rPr>
        <w:t>新疆国际会展中心</w:t>
      </w:r>
      <w:r>
        <w:rPr>
          <w:rFonts w:hint="eastAsia" w:ascii="仿宋_GB2312" w:hAnsi="仿宋_GB2312" w:eastAsia="仿宋_GB2312" w:cs="仿宋_GB2312"/>
          <w:color w:val="000000"/>
          <w:kern w:val="0"/>
          <w:sz w:val="32"/>
          <w:szCs w:val="32"/>
          <w:lang w:bidi="ar"/>
        </w:rPr>
        <w:t>（面积：</w:t>
      </w:r>
      <w:r>
        <w:rPr>
          <w:rFonts w:hint="eastAsia" w:ascii="仿宋_GB2312" w:hAnsi="仿宋_GB2312" w:eastAsia="仿宋_GB2312" w:cs="仿宋_GB2312"/>
          <w:color w:val="000000"/>
          <w:kern w:val="0"/>
          <w:sz w:val="32"/>
          <w:szCs w:val="32"/>
          <w:lang w:val="en-US" w:eastAsia="zh-CN" w:bidi="ar"/>
        </w:rPr>
        <w:t>30</w:t>
      </w:r>
      <w:r>
        <w:rPr>
          <w:rFonts w:hint="eastAsia" w:ascii="仿宋_GB2312" w:hAnsi="仿宋_GB2312" w:eastAsia="仿宋_GB2312"/>
          <w:color w:val="000000"/>
          <w:kern w:val="0"/>
          <w:sz w:val="32"/>
          <w:szCs w:val="32"/>
          <w:lang w:val="en-US" w:eastAsia="zh-CN"/>
        </w:rPr>
        <w:t>00</w:t>
      </w:r>
      <w:r>
        <w:rPr>
          <w:rFonts w:hint="eastAsia" w:ascii="华文仿宋" w:hAnsi="华文仿宋" w:eastAsia="华文仿宋" w:cs="华文仿宋"/>
          <w:sz w:val="32"/>
          <w:szCs w:val="32"/>
        </w:rPr>
        <w:t>㎡</w:t>
      </w:r>
      <w:r>
        <w:rPr>
          <w:rFonts w:hint="eastAsia" w:ascii="仿宋_GB2312" w:hAnsi="仿宋_GB2312" w:eastAsia="仿宋_GB2312" w:cs="仿宋_GB2312"/>
          <w:color w:val="000000"/>
          <w:kern w:val="0"/>
          <w:sz w:val="32"/>
          <w:szCs w:val="32"/>
          <w:lang w:bidi="ar"/>
        </w:rPr>
        <w:t>）</w:t>
      </w:r>
    </w:p>
    <w:p>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三、征集内容及要求</w:t>
      </w:r>
    </w:p>
    <w:p>
      <w:pPr>
        <w:spacing w:line="56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面向</w:t>
      </w:r>
      <w:r>
        <w:rPr>
          <w:rFonts w:hint="eastAsia" w:ascii="仿宋_GB2312" w:hAnsi="仿宋_GB2312" w:eastAsia="仿宋_GB2312" w:cs="仿宋_GB2312"/>
          <w:color w:val="000000"/>
          <w:kern w:val="0"/>
          <w:sz w:val="32"/>
          <w:szCs w:val="32"/>
          <w:lang w:eastAsia="zh-CN" w:bidi="ar"/>
        </w:rPr>
        <w:t>全国学会和</w:t>
      </w:r>
      <w:r>
        <w:rPr>
          <w:rFonts w:hint="eastAsia" w:ascii="仿宋_GB2312" w:hAnsi="仿宋_GB2312" w:eastAsia="仿宋_GB2312" w:cs="仿宋_GB2312"/>
          <w:color w:val="000000"/>
          <w:kern w:val="0"/>
          <w:sz w:val="32"/>
          <w:szCs w:val="32"/>
          <w:lang w:bidi="ar"/>
        </w:rPr>
        <w:t>中央企业、地方国企、中国民营500强企业、专精特新“小巨人”企业</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人工智能领域重点企业</w:t>
      </w:r>
      <w:r>
        <w:rPr>
          <w:rFonts w:hint="eastAsia" w:ascii="仿宋_GB2312" w:hAnsi="仿宋_GB2312" w:eastAsia="仿宋_GB2312" w:cs="仿宋_GB2312"/>
          <w:color w:val="000000"/>
          <w:kern w:val="0"/>
          <w:sz w:val="32"/>
          <w:szCs w:val="32"/>
          <w:lang w:bidi="ar"/>
        </w:rPr>
        <w:t>等各类企业</w:t>
      </w:r>
      <w:r>
        <w:rPr>
          <w:rFonts w:hint="eastAsia" w:ascii="仿宋_GB2312" w:hAnsi="仿宋_GB2312" w:eastAsia="仿宋_GB2312" w:cs="仿宋_GB2312"/>
          <w:color w:val="000000"/>
          <w:kern w:val="0"/>
          <w:sz w:val="32"/>
          <w:szCs w:val="32"/>
          <w:lang w:eastAsia="zh-CN" w:bidi="ar"/>
        </w:rPr>
        <w:t>及相关单位</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bidi="ar"/>
        </w:rPr>
        <w:t>征集</w:t>
      </w:r>
      <w:r>
        <w:rPr>
          <w:rFonts w:hint="eastAsia" w:ascii="仿宋_GB2312" w:hAnsi="仿宋_GB2312" w:eastAsia="仿宋_GB2312" w:cs="仿宋_GB2312"/>
          <w:color w:val="000000"/>
          <w:kern w:val="0"/>
          <w:sz w:val="32"/>
          <w:szCs w:val="32"/>
          <w:lang w:eastAsia="zh-CN" w:bidi="ar"/>
        </w:rPr>
        <w:t>人工智能</w:t>
      </w:r>
      <w:r>
        <w:rPr>
          <w:rFonts w:hint="eastAsia" w:ascii="仿宋_GB2312" w:hAnsi="仿宋_GB2312" w:eastAsia="仿宋_GB2312" w:cs="仿宋_GB2312"/>
          <w:color w:val="000000"/>
          <w:kern w:val="0"/>
          <w:sz w:val="32"/>
          <w:szCs w:val="32"/>
          <w:lang w:val="en-US" w:eastAsia="zh-CN" w:bidi="ar"/>
        </w:rPr>
        <w:t>技术在经济社会各领域深入融合应用的典型案例和相关产品，重点</w:t>
      </w:r>
      <w:r>
        <w:rPr>
          <w:rFonts w:hint="eastAsia" w:ascii="仿宋_GB2312" w:hAnsi="仿宋_GB2312" w:eastAsia="仿宋_GB2312" w:cs="仿宋_GB2312"/>
          <w:i w:val="0"/>
          <w:iCs w:val="0"/>
          <w:caps w:val="0"/>
          <w:color w:val="000000"/>
          <w:spacing w:val="0"/>
          <w:sz w:val="32"/>
          <w:szCs w:val="32"/>
          <w:shd w:val="clear"/>
          <w:lang w:bidi="ar"/>
        </w:rPr>
        <w:t>反映人工智能在赋能产业升级、提升治理能力、服务民生需求等方面的实际成效</w:t>
      </w:r>
      <w:r>
        <w:rPr>
          <w:rFonts w:hint="eastAsia" w:ascii="仿宋_GB2312" w:hAnsi="仿宋_GB2312" w:eastAsia="仿宋_GB2312" w:cs="仿宋_GB2312"/>
          <w:i w:val="0"/>
          <w:iCs w:val="0"/>
          <w:caps w:val="0"/>
          <w:color w:val="000000"/>
          <w:spacing w:val="0"/>
          <w:sz w:val="32"/>
          <w:szCs w:val="32"/>
          <w:shd w:val="clear"/>
          <w:lang w:val="en-US" w:eastAsia="zh-CN" w:bidi="ar"/>
        </w:rPr>
        <w:t>和</w:t>
      </w:r>
      <w:r>
        <w:rPr>
          <w:rFonts w:hint="eastAsia" w:ascii="仿宋_GB2312" w:hAnsi="仿宋_GB2312" w:eastAsia="仿宋_GB2312" w:cs="仿宋_GB2312"/>
          <w:color w:val="000000"/>
          <w:kern w:val="0"/>
          <w:sz w:val="32"/>
          <w:szCs w:val="32"/>
          <w:lang w:bidi="ar"/>
        </w:rPr>
        <w:t>创新成果，通过创新产品展现广大科技工作者投身人工智能技术研发与应用的创新实践和家国情怀</w:t>
      </w:r>
      <w:r>
        <w:rPr>
          <w:rFonts w:hint="eastAsia" w:ascii="仿宋_GB2312" w:hAnsi="仿宋_GB2312" w:eastAsia="仿宋_GB2312" w:cs="仿宋_GB2312"/>
          <w:color w:val="000000"/>
          <w:kern w:val="0"/>
          <w:sz w:val="32"/>
          <w:szCs w:val="32"/>
          <w:lang w:eastAsia="zh-CN" w:bidi="ar"/>
        </w:rPr>
        <w:t>。</w:t>
      </w:r>
    </w:p>
    <w:p>
      <w:pPr>
        <w:spacing w:line="560" w:lineRule="exact"/>
        <w:ind w:firstLine="640" w:firstLineChars="200"/>
        <w:rPr>
          <w:rFonts w:hint="eastAsia"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（一）</w:t>
      </w:r>
      <w:r>
        <w:rPr>
          <w:rFonts w:hint="eastAsia" w:ascii="楷体_GB2312" w:hAnsi="楷体_GB2312" w:eastAsia="楷体_GB2312" w:cs="楷体_GB2312"/>
          <w:color w:val="000000"/>
          <w:kern w:val="0"/>
          <w:sz w:val="32"/>
          <w:szCs w:val="32"/>
          <w:lang w:eastAsia="zh-CN" w:bidi="ar"/>
        </w:rPr>
        <w:t>单位</w:t>
      </w:r>
      <w:r>
        <w:rPr>
          <w:rFonts w:hint="eastAsia" w:ascii="楷体_GB2312" w:hAnsi="楷体_GB2312" w:eastAsia="楷体_GB2312" w:cs="楷体_GB2312"/>
          <w:color w:val="000000"/>
          <w:kern w:val="0"/>
          <w:sz w:val="32"/>
          <w:szCs w:val="32"/>
          <w:lang w:bidi="ar"/>
        </w:rPr>
        <w:t>要求</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1.参展</w:t>
      </w:r>
      <w:r>
        <w:rPr>
          <w:rFonts w:hint="eastAsia" w:ascii="仿宋_GB2312" w:hAnsi="仿宋_GB2312" w:eastAsia="仿宋_GB2312" w:cs="仿宋_GB2312"/>
          <w:color w:val="000000"/>
          <w:kern w:val="0"/>
          <w:sz w:val="32"/>
          <w:szCs w:val="32"/>
          <w:lang w:eastAsia="zh-CN" w:bidi="ar"/>
        </w:rPr>
        <w:t>单位</w:t>
      </w:r>
      <w:r>
        <w:rPr>
          <w:rFonts w:hint="eastAsia" w:ascii="仿宋_GB2312" w:hAnsi="仿宋_GB2312" w:eastAsia="仿宋_GB2312" w:cs="仿宋_GB2312"/>
          <w:color w:val="000000"/>
          <w:kern w:val="0"/>
          <w:sz w:val="32"/>
          <w:szCs w:val="32"/>
          <w:lang w:bidi="ar"/>
        </w:rPr>
        <w:t>必须在近三年内无违法违规和不良记录；</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2.参展单位应属于人工智能技术应用相关领域，重点聚焦</w:t>
      </w:r>
      <w:r>
        <w:rPr>
          <w:rFonts w:hint="eastAsia" w:ascii="仿宋_GB2312" w:hAnsi="仿宋_GB2312" w:eastAsia="仿宋_GB2312" w:cs="仿宋_GB2312"/>
          <w:color w:val="000000"/>
          <w:kern w:val="0"/>
          <w:sz w:val="32"/>
          <w:szCs w:val="32"/>
          <w:lang w:eastAsia="zh-CN" w:bidi="ar"/>
        </w:rPr>
        <w:t>工业制造</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eastAsia="zh-CN" w:bidi="ar"/>
        </w:rPr>
        <w:t>科技创新、现代农业、医疗健康、社会治理、公共服务</w:t>
      </w:r>
      <w:r>
        <w:rPr>
          <w:rFonts w:hint="eastAsia" w:ascii="仿宋_GB2312" w:hAnsi="仿宋_GB2312" w:eastAsia="仿宋_GB2312" w:cs="仿宋_GB2312"/>
          <w:color w:val="000000"/>
          <w:kern w:val="0"/>
          <w:sz w:val="32"/>
          <w:szCs w:val="32"/>
          <w:lang w:bidi="ar"/>
        </w:rPr>
        <w:t>等</w:t>
      </w:r>
      <w:r>
        <w:rPr>
          <w:rFonts w:hint="eastAsia" w:ascii="仿宋_GB2312" w:hAnsi="仿宋_GB2312" w:eastAsia="仿宋_GB2312" w:cs="仿宋_GB2312"/>
          <w:color w:val="000000"/>
          <w:kern w:val="0"/>
          <w:sz w:val="32"/>
          <w:szCs w:val="32"/>
          <w:lang w:eastAsia="zh-CN" w:bidi="ar"/>
        </w:rPr>
        <w:t>方面，特别是</w:t>
      </w:r>
      <w:r>
        <w:rPr>
          <w:rFonts w:hint="eastAsia" w:ascii="仿宋_GB2312" w:hAnsi="仿宋_GB2312" w:eastAsia="仿宋_GB2312" w:cs="仿宋_GB2312"/>
          <w:color w:val="000000"/>
          <w:kern w:val="0"/>
          <w:sz w:val="32"/>
          <w:szCs w:val="32"/>
          <w:lang w:val="en-US" w:eastAsia="zh-CN" w:bidi="ar"/>
        </w:rPr>
        <w:t>与</w:t>
      </w:r>
      <w:r>
        <w:rPr>
          <w:rFonts w:hint="eastAsia" w:ascii="仿宋_GB2312" w:hAnsi="仿宋_GB2312" w:eastAsia="仿宋_GB2312" w:cs="仿宋_GB2312"/>
          <w:b w:val="0"/>
          <w:bCs w:val="0"/>
          <w:i w:val="0"/>
          <w:iCs w:val="0"/>
          <w:caps w:val="0"/>
          <w:color w:val="000000"/>
          <w:spacing w:val="0"/>
          <w:sz w:val="32"/>
          <w:szCs w:val="32"/>
          <w:shd w:val="clear"/>
          <w:lang w:bidi="ar"/>
        </w:rPr>
        <w:t>新疆</w:t>
      </w:r>
      <w:r>
        <w:rPr>
          <w:rFonts w:hint="eastAsia" w:ascii="仿宋_GB2312" w:hAnsi="仿宋_GB2312" w:eastAsia="仿宋_GB2312" w:cs="仿宋_GB2312"/>
          <w:b w:val="0"/>
          <w:bCs w:val="0"/>
          <w:i w:val="0"/>
          <w:iCs w:val="0"/>
          <w:caps w:val="0"/>
          <w:color w:val="000000"/>
          <w:spacing w:val="0"/>
          <w:sz w:val="32"/>
          <w:szCs w:val="32"/>
          <w:shd w:val="clear"/>
          <w:lang w:val="en-US" w:eastAsia="zh-CN" w:bidi="ar"/>
        </w:rPr>
        <w:t>维吾尔</w:t>
      </w:r>
      <w:r>
        <w:rPr>
          <w:rFonts w:hint="eastAsia" w:ascii="仿宋_GB2312" w:hAnsi="仿宋_GB2312" w:eastAsia="仿宋_GB2312" w:cs="仿宋_GB2312"/>
          <w:b w:val="0"/>
          <w:bCs w:val="0"/>
          <w:i w:val="0"/>
          <w:iCs w:val="0"/>
          <w:caps w:val="0"/>
          <w:color w:val="000000"/>
          <w:spacing w:val="0"/>
          <w:sz w:val="32"/>
          <w:szCs w:val="32"/>
          <w:shd w:val="clear"/>
          <w:lang w:bidi="ar"/>
        </w:rPr>
        <w:t>自治区经济社会发展密切相关</w:t>
      </w:r>
      <w:r>
        <w:rPr>
          <w:rFonts w:hint="eastAsia" w:ascii="仿宋_GB2312" w:hAnsi="仿宋_GB2312" w:eastAsia="仿宋_GB2312" w:cs="仿宋_GB2312"/>
          <w:b w:val="0"/>
          <w:bCs w:val="0"/>
          <w:i w:val="0"/>
          <w:iCs w:val="0"/>
          <w:caps w:val="0"/>
          <w:color w:val="000000"/>
          <w:spacing w:val="0"/>
          <w:sz w:val="32"/>
          <w:szCs w:val="32"/>
          <w:shd w:val="clear"/>
          <w:lang w:eastAsia="zh-CN" w:bidi="ar"/>
        </w:rPr>
        <w:t>的</w:t>
      </w:r>
      <w:r>
        <w:rPr>
          <w:rFonts w:hint="eastAsia" w:ascii="仿宋_GB2312" w:hAnsi="仿宋_GB2312" w:eastAsia="仿宋_GB2312" w:cs="仿宋_GB2312"/>
          <w:color w:val="000000"/>
          <w:kern w:val="0"/>
          <w:sz w:val="32"/>
          <w:szCs w:val="32"/>
          <w:lang w:bidi="ar"/>
        </w:rPr>
        <w:t>方向；</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i w:val="0"/>
          <w:iCs w:val="0"/>
          <w:caps w:val="0"/>
          <w:color w:val="000000"/>
          <w:spacing w:val="0"/>
          <w:sz w:val="32"/>
          <w:szCs w:val="32"/>
          <w:shd w:val="clear"/>
          <w:lang w:val="en-US" w:eastAsia="zh-CN" w:bidi="ar"/>
        </w:rPr>
        <w:t>3.</w:t>
      </w:r>
      <w:r>
        <w:rPr>
          <w:rFonts w:hint="eastAsia" w:ascii="仿宋_GB2312" w:hAnsi="仿宋_GB2312" w:eastAsia="仿宋_GB2312" w:cs="仿宋_GB2312"/>
          <w:i w:val="0"/>
          <w:iCs w:val="0"/>
          <w:caps w:val="0"/>
          <w:color w:val="000000"/>
          <w:spacing w:val="0"/>
          <w:sz w:val="32"/>
          <w:szCs w:val="32"/>
          <w:shd w:val="clear"/>
          <w:lang w:bidi="ar"/>
        </w:rPr>
        <w:t>鼓励在新疆</w:t>
      </w:r>
      <w:r>
        <w:rPr>
          <w:rFonts w:hint="eastAsia" w:ascii="仿宋_GB2312" w:hAnsi="仿宋_GB2312" w:eastAsia="仿宋_GB2312" w:cs="仿宋_GB2312"/>
          <w:b w:val="0"/>
          <w:bCs w:val="0"/>
          <w:i w:val="0"/>
          <w:iCs w:val="0"/>
          <w:caps w:val="0"/>
          <w:color w:val="000000"/>
          <w:spacing w:val="0"/>
          <w:sz w:val="32"/>
          <w:szCs w:val="32"/>
          <w:shd w:val="clear"/>
          <w:lang w:val="en-US" w:eastAsia="zh-CN" w:bidi="ar"/>
        </w:rPr>
        <w:t>维吾尔</w:t>
      </w:r>
      <w:r>
        <w:rPr>
          <w:rFonts w:hint="eastAsia" w:ascii="仿宋_GB2312" w:hAnsi="仿宋_GB2312" w:eastAsia="仿宋_GB2312" w:cs="仿宋_GB2312"/>
          <w:b w:val="0"/>
          <w:bCs w:val="0"/>
          <w:i w:val="0"/>
          <w:iCs w:val="0"/>
          <w:caps w:val="0"/>
          <w:color w:val="000000"/>
          <w:spacing w:val="0"/>
          <w:sz w:val="32"/>
          <w:szCs w:val="32"/>
          <w:shd w:val="clear"/>
          <w:lang w:bidi="ar"/>
        </w:rPr>
        <w:t>自治区</w:t>
      </w:r>
      <w:r>
        <w:rPr>
          <w:rFonts w:hint="eastAsia" w:ascii="仿宋_GB2312" w:hAnsi="仿宋_GB2312" w:eastAsia="仿宋_GB2312" w:cs="仿宋_GB2312"/>
          <w:i w:val="0"/>
          <w:iCs w:val="0"/>
          <w:caps w:val="0"/>
          <w:color w:val="000000"/>
          <w:spacing w:val="0"/>
          <w:sz w:val="32"/>
          <w:szCs w:val="32"/>
          <w:shd w:val="clear"/>
          <w:lang w:bidi="ar"/>
        </w:rPr>
        <w:t>已有落地应用案例或具备推广应用潜力的单位积极申报。</w:t>
      </w:r>
    </w:p>
    <w:p>
      <w:pPr>
        <w:spacing w:line="560" w:lineRule="exact"/>
        <w:ind w:firstLine="640" w:firstLineChars="200"/>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（二）展品要求</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1.展品展示内容严谨，符合主题要求，具有一定代表性，紧扣“人工智能+应用场景”主线，体现</w:t>
      </w:r>
      <w:r>
        <w:rPr>
          <w:rFonts w:hint="eastAsia" w:ascii="仿宋_GB2312" w:hAnsi="仿宋_GB2312" w:eastAsia="仿宋_GB2312" w:cs="仿宋_GB2312"/>
          <w:color w:val="000000"/>
          <w:kern w:val="0"/>
          <w:sz w:val="32"/>
          <w:szCs w:val="32"/>
          <w:lang w:eastAsia="zh-CN" w:bidi="ar"/>
        </w:rPr>
        <w:t>人工智能</w:t>
      </w:r>
      <w:r>
        <w:rPr>
          <w:rFonts w:hint="eastAsia" w:ascii="仿宋_GB2312" w:hAnsi="仿宋_GB2312" w:eastAsia="仿宋_GB2312" w:cs="仿宋_GB2312"/>
          <w:color w:val="000000"/>
          <w:kern w:val="0"/>
          <w:sz w:val="32"/>
          <w:szCs w:val="32"/>
          <w:lang w:bidi="ar"/>
        </w:rPr>
        <w:t>在具体行业或民生领域中的实际作用；</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2.展品展示以实物为主，</w:t>
      </w:r>
      <w:r>
        <w:rPr>
          <w:rFonts w:hint="eastAsia" w:ascii="仿宋_GB2312" w:hAnsi="仿宋_GB2312" w:eastAsia="仿宋_GB2312" w:cs="仿宋_GB2312"/>
          <w:i w:val="0"/>
          <w:iCs w:val="0"/>
          <w:caps w:val="0"/>
          <w:color w:val="000000"/>
          <w:spacing w:val="0"/>
          <w:sz w:val="32"/>
          <w:szCs w:val="32"/>
          <w:shd w:val="clear"/>
          <w:lang w:bidi="ar"/>
        </w:rPr>
        <w:t>可配合模型、互动系统、场景沙盘、视频案例等形式呈现，确保直观反映应用成效</w:t>
      </w:r>
      <w:r>
        <w:rPr>
          <w:rFonts w:hint="eastAsia" w:ascii="仿宋_GB2312" w:hAnsi="仿宋_GB2312" w:eastAsia="仿宋_GB2312" w:cs="仿宋_GB2312"/>
          <w:color w:val="000000"/>
          <w:kern w:val="0"/>
          <w:sz w:val="32"/>
          <w:szCs w:val="32"/>
          <w:lang w:bidi="ar"/>
        </w:rPr>
        <w:t>；</w:t>
      </w:r>
    </w:p>
    <w:p>
      <w:pPr>
        <w:spacing w:line="560" w:lineRule="exact"/>
        <w:ind w:firstLine="640" w:firstLineChars="200"/>
        <w:rPr>
          <w:rFonts w:hint="eastAsia" w:ascii="仿宋_GB2312" w:hAnsi="仿宋_GB2312" w:eastAsia="仿宋_GB2312" w:cs="仿宋_GB2312"/>
          <w:i w:val="0"/>
          <w:iCs w:val="0"/>
          <w:caps w:val="0"/>
          <w:color w:val="000000"/>
          <w:spacing w:val="0"/>
          <w:sz w:val="32"/>
          <w:szCs w:val="32"/>
          <w:shd w:val="clear"/>
          <w:lang w:bidi="ar"/>
        </w:rPr>
      </w:pPr>
      <w:r>
        <w:rPr>
          <w:rFonts w:hint="eastAsia" w:ascii="仿宋_GB2312" w:hAnsi="仿宋_GB2312" w:eastAsia="仿宋_GB2312" w:cs="仿宋_GB2312"/>
          <w:color w:val="000000"/>
          <w:kern w:val="0"/>
          <w:sz w:val="32"/>
          <w:szCs w:val="32"/>
          <w:lang w:bidi="ar"/>
        </w:rPr>
        <w:t>3.展品要配套相应的文字材料，</w:t>
      </w:r>
      <w:r>
        <w:rPr>
          <w:rFonts w:hint="eastAsia" w:ascii="仿宋_GB2312" w:hAnsi="仿宋_GB2312" w:eastAsia="仿宋_GB2312"/>
          <w:color w:val="000000"/>
          <w:kern w:val="0"/>
          <w:sz w:val="32"/>
          <w:szCs w:val="32"/>
          <w:lang w:eastAsia="zh-CN"/>
        </w:rPr>
        <w:t>包括</w:t>
      </w:r>
      <w:r>
        <w:rPr>
          <w:rFonts w:hint="eastAsia" w:ascii="仿宋_GB2312" w:hAnsi="仿宋_GB2312" w:eastAsia="仿宋_GB2312"/>
          <w:color w:val="000000"/>
          <w:kern w:val="0"/>
          <w:sz w:val="32"/>
          <w:szCs w:val="32"/>
        </w:rPr>
        <w:t>企业简介</w:t>
      </w:r>
      <w:r>
        <w:rPr>
          <w:rFonts w:hint="eastAsia" w:ascii="仿宋_GB2312" w:hAnsi="仿宋_GB2312" w:eastAsia="仿宋_GB2312"/>
          <w:color w:val="000000"/>
          <w:kern w:val="0"/>
          <w:sz w:val="32"/>
          <w:szCs w:val="32"/>
          <w:lang w:eastAsia="zh-CN"/>
        </w:rPr>
        <w:t>，</w:t>
      </w:r>
      <w:r>
        <w:rPr>
          <w:rFonts w:hint="eastAsia" w:ascii="仿宋_GB2312" w:hAnsi="仿宋_GB2312" w:eastAsia="仿宋_GB2312"/>
          <w:color w:val="000000"/>
          <w:kern w:val="0"/>
          <w:sz w:val="32"/>
          <w:szCs w:val="32"/>
          <w:lang w:val="en-US" w:eastAsia="zh-CN"/>
        </w:rPr>
        <w:t>科技创新产品的</w:t>
      </w:r>
      <w:r>
        <w:rPr>
          <w:rFonts w:hint="eastAsia" w:ascii="仿宋_GB2312" w:hAnsi="仿宋_GB2312" w:eastAsia="仿宋_GB2312"/>
          <w:color w:val="000000"/>
          <w:kern w:val="0"/>
          <w:sz w:val="32"/>
          <w:szCs w:val="32"/>
        </w:rPr>
        <w:t>基本原理</w:t>
      </w:r>
      <w:r>
        <w:rPr>
          <w:rFonts w:hint="eastAsia" w:ascii="仿宋_GB2312" w:hAnsi="仿宋_GB2312" w:eastAsia="仿宋_GB2312"/>
          <w:color w:val="000000"/>
          <w:kern w:val="0"/>
          <w:sz w:val="32"/>
          <w:szCs w:val="32"/>
          <w:lang w:eastAsia="zh-CN"/>
        </w:rPr>
        <w:t>和落地应用场景，</w:t>
      </w:r>
      <w:r>
        <w:rPr>
          <w:rFonts w:hint="eastAsia" w:ascii="仿宋_GB2312" w:hAnsi="仿宋_GB2312" w:eastAsia="仿宋_GB2312"/>
          <w:color w:val="000000"/>
          <w:kern w:val="0"/>
          <w:sz w:val="32"/>
          <w:szCs w:val="32"/>
        </w:rPr>
        <w:t>科技人员从受到启发到锚定方向、确定技术路线</w:t>
      </w:r>
      <w:r>
        <w:rPr>
          <w:rFonts w:hint="eastAsia" w:ascii="仿宋_GB2312" w:hAnsi="仿宋_GB2312" w:eastAsia="仿宋_GB2312"/>
          <w:color w:val="000000"/>
          <w:kern w:val="0"/>
          <w:sz w:val="32"/>
          <w:szCs w:val="32"/>
          <w:lang w:eastAsia="zh-CN"/>
        </w:rPr>
        <w:t>、攻克关键难题的创新故事等</w:t>
      </w:r>
      <w:r>
        <w:rPr>
          <w:rFonts w:hint="eastAsia" w:ascii="仿宋_GB2312" w:hAnsi="仿宋_GB2312" w:eastAsia="仿宋_GB2312" w:cs="仿宋_GB2312"/>
          <w:i w:val="0"/>
          <w:iCs w:val="0"/>
          <w:caps w:val="0"/>
          <w:color w:val="000000"/>
          <w:spacing w:val="0"/>
          <w:sz w:val="32"/>
          <w:szCs w:val="32"/>
          <w:shd w:val="clear"/>
          <w:lang w:eastAsia="zh-CN" w:bidi="ar"/>
        </w:rPr>
        <w:t>，</w:t>
      </w:r>
      <w:r>
        <w:rPr>
          <w:rFonts w:hint="eastAsia" w:ascii="仿宋_GB2312" w:hAnsi="仿宋_GB2312" w:eastAsia="仿宋_GB2312" w:cs="仿宋_GB2312"/>
          <w:i w:val="0"/>
          <w:iCs w:val="0"/>
          <w:caps w:val="0"/>
          <w:color w:val="000000"/>
          <w:spacing w:val="0"/>
          <w:sz w:val="32"/>
          <w:szCs w:val="32"/>
          <w:shd w:val="clear"/>
          <w:lang w:bidi="ar"/>
        </w:rPr>
        <w:t>并</w:t>
      </w:r>
      <w:r>
        <w:rPr>
          <w:rFonts w:hint="eastAsia" w:ascii="仿宋_GB2312" w:hAnsi="仿宋_GB2312" w:eastAsia="仿宋_GB2312" w:cs="仿宋_GB2312"/>
          <w:i w:val="0"/>
          <w:iCs w:val="0"/>
          <w:caps w:val="0"/>
          <w:color w:val="000000"/>
          <w:spacing w:val="0"/>
          <w:sz w:val="32"/>
          <w:szCs w:val="32"/>
          <w:shd w:val="clear"/>
          <w:lang w:eastAsia="zh-CN" w:bidi="ar"/>
        </w:rPr>
        <w:t>请描述</w:t>
      </w:r>
      <w:r>
        <w:rPr>
          <w:rFonts w:hint="eastAsia" w:ascii="仿宋_GB2312" w:hAnsi="仿宋_GB2312" w:eastAsia="仿宋_GB2312" w:cs="仿宋_GB2312"/>
          <w:i w:val="0"/>
          <w:iCs w:val="0"/>
          <w:caps w:val="0"/>
          <w:color w:val="000000"/>
          <w:spacing w:val="0"/>
          <w:sz w:val="32"/>
          <w:szCs w:val="32"/>
          <w:shd w:val="clear"/>
          <w:lang w:bidi="ar"/>
        </w:rPr>
        <w:t>与新疆产业或发展需求的关联性与适配性。</w:t>
      </w:r>
    </w:p>
    <w:p>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四、布展说明</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w:t>
      </w:r>
      <w:r>
        <w:rPr>
          <w:rFonts w:hint="eastAsia" w:ascii="仿宋_GB2312" w:hAnsi="仿宋_GB2312" w:eastAsia="仿宋_GB2312" w:cs="仿宋_GB2312"/>
          <w:color w:val="000000"/>
          <w:kern w:val="0"/>
          <w:sz w:val="32"/>
          <w:szCs w:val="32"/>
          <w:lang w:val="en-US" w:eastAsia="zh-CN" w:bidi="ar"/>
        </w:rPr>
        <w:t>“人工智能+”应用场景典型案例展是中国科协与新疆维吾尔自治区人民政府共同主办的重要活动，旨在促进人工智能技术推广应用，重点是搭建参展单位融入新疆经济社会高质量发展大局的平台。</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2.本次展览对公众免费开放，并邀请</w:t>
      </w:r>
      <w:r>
        <w:rPr>
          <w:rFonts w:hint="eastAsia" w:ascii="仿宋_GB2312" w:hAnsi="仿宋_GB2312" w:eastAsia="仿宋_GB2312" w:cs="仿宋_GB2312"/>
          <w:color w:val="000000"/>
          <w:kern w:val="0"/>
          <w:sz w:val="32"/>
          <w:szCs w:val="32"/>
          <w:lang w:eastAsia="zh-CN" w:bidi="ar"/>
        </w:rPr>
        <w:t>新疆各级党政负责人及相关行业管理服务人员</w:t>
      </w:r>
      <w:r>
        <w:rPr>
          <w:rFonts w:hint="eastAsia" w:ascii="仿宋_GB2312" w:hAnsi="仿宋_GB2312" w:eastAsia="仿宋_GB2312" w:cs="仿宋_GB2312"/>
          <w:i w:val="0"/>
          <w:iCs w:val="0"/>
          <w:caps w:val="0"/>
          <w:color w:val="000000"/>
          <w:spacing w:val="0"/>
          <w:sz w:val="32"/>
          <w:szCs w:val="32"/>
          <w:shd w:val="clear"/>
          <w:lang w:bidi="ar"/>
        </w:rPr>
        <w:t>参观交流</w:t>
      </w:r>
      <w:r>
        <w:rPr>
          <w:rFonts w:hint="eastAsia" w:ascii="仿宋_GB2312" w:hAnsi="仿宋_GB2312" w:eastAsia="仿宋_GB2312" w:cs="仿宋_GB2312"/>
          <w:color w:val="000000"/>
          <w:kern w:val="0"/>
          <w:sz w:val="32"/>
          <w:szCs w:val="32"/>
          <w:lang w:bidi="ar"/>
        </w:rPr>
        <w:t>。</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w:t>
      </w:r>
      <w:r>
        <w:rPr>
          <w:rFonts w:hint="eastAsia" w:ascii="仿宋_GB2312" w:hAnsi="仿宋_GB2312" w:eastAsia="仿宋_GB2312" w:cs="仿宋_GB2312"/>
          <w:color w:val="000000"/>
          <w:kern w:val="0"/>
          <w:sz w:val="32"/>
          <w:szCs w:val="32"/>
          <w:lang w:val="en-US" w:eastAsia="zh-CN" w:bidi="ar"/>
        </w:rPr>
        <w:t>主办单位</w:t>
      </w:r>
      <w:r>
        <w:rPr>
          <w:rFonts w:hint="eastAsia" w:ascii="仿宋_GB2312" w:hAnsi="仿宋_GB2312" w:eastAsia="仿宋_GB2312" w:cs="仿宋_GB2312"/>
          <w:color w:val="000000"/>
          <w:kern w:val="0"/>
          <w:sz w:val="32"/>
          <w:szCs w:val="32"/>
          <w:lang w:bidi="ar"/>
        </w:rPr>
        <w:t>免费提供展出场地及配套水、电、网络等基础保障。</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4.参展</w:t>
      </w:r>
      <w:r>
        <w:rPr>
          <w:rFonts w:hint="eastAsia" w:ascii="仿宋_GB2312" w:hAnsi="仿宋_GB2312" w:eastAsia="仿宋_GB2312" w:cs="仿宋_GB2312"/>
          <w:color w:val="000000"/>
          <w:kern w:val="0"/>
          <w:sz w:val="32"/>
          <w:szCs w:val="32"/>
          <w:lang w:eastAsia="zh-CN" w:bidi="ar"/>
        </w:rPr>
        <w:t>单位</w:t>
      </w:r>
      <w:r>
        <w:rPr>
          <w:rFonts w:hint="eastAsia" w:ascii="仿宋_GB2312" w:hAnsi="仿宋_GB2312" w:eastAsia="仿宋_GB2312" w:cs="仿宋_GB2312"/>
          <w:color w:val="000000"/>
          <w:kern w:val="0"/>
          <w:sz w:val="32"/>
          <w:szCs w:val="32"/>
          <w:lang w:bidi="ar"/>
        </w:rPr>
        <w:t>需提供与展览相关的文字、图片等材料，负责展品和配套设备的往返运输、现场布展及撤展</w:t>
      </w:r>
      <w:r>
        <w:rPr>
          <w:rFonts w:hint="eastAsia" w:ascii="仿宋_GB2312" w:hAnsi="仿宋_GB2312" w:eastAsia="仿宋_GB2312" w:cs="仿宋_GB2312"/>
          <w:color w:val="000000"/>
          <w:kern w:val="0"/>
          <w:sz w:val="32"/>
          <w:szCs w:val="32"/>
          <w:lang w:eastAsia="zh-CN" w:bidi="ar"/>
        </w:rPr>
        <w:t>等</w:t>
      </w:r>
      <w:r>
        <w:rPr>
          <w:rFonts w:hint="eastAsia" w:ascii="仿宋_GB2312" w:hAnsi="仿宋_GB2312" w:eastAsia="仿宋_GB2312" w:cs="仿宋_GB2312"/>
          <w:color w:val="000000"/>
          <w:kern w:val="0"/>
          <w:sz w:val="32"/>
          <w:szCs w:val="32"/>
          <w:lang w:val="en-US" w:eastAsia="zh-CN" w:bidi="ar"/>
        </w:rPr>
        <w:t>工作</w:t>
      </w:r>
      <w:r>
        <w:rPr>
          <w:rFonts w:hint="eastAsia" w:ascii="仿宋_GB2312" w:hAnsi="仿宋_GB2312" w:eastAsia="仿宋_GB2312" w:cs="仿宋_GB2312"/>
          <w:color w:val="000000"/>
          <w:kern w:val="0"/>
          <w:sz w:val="32"/>
          <w:szCs w:val="32"/>
          <w:lang w:bidi="ar"/>
        </w:rPr>
        <w:t>，并根据实际情况做好展台讲解。</w:t>
      </w:r>
    </w:p>
    <w:p>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五、征集流程</w:t>
      </w:r>
    </w:p>
    <w:p>
      <w:pPr>
        <w:spacing w:line="560" w:lineRule="exact"/>
        <w:ind w:firstLine="640" w:firstLineChars="200"/>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（一）征集时间</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即日起至202</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20</w:t>
      </w:r>
      <w:r>
        <w:rPr>
          <w:rFonts w:hint="eastAsia" w:ascii="仿宋_GB2312" w:hAnsi="仿宋_GB2312" w:eastAsia="仿宋_GB2312" w:cs="仿宋_GB2312"/>
          <w:color w:val="000000"/>
          <w:kern w:val="0"/>
          <w:sz w:val="32"/>
          <w:szCs w:val="32"/>
          <w:lang w:bidi="ar"/>
        </w:rPr>
        <w:t>日止。</w:t>
      </w:r>
    </w:p>
    <w:p>
      <w:pPr>
        <w:spacing w:line="560" w:lineRule="exact"/>
        <w:ind w:firstLine="640" w:firstLineChars="200"/>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（二）申报方式</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请拟参展的</w:t>
      </w:r>
      <w:r>
        <w:rPr>
          <w:rFonts w:hint="eastAsia" w:ascii="仿宋_GB2312" w:hAnsi="仿宋_GB2312" w:eastAsia="仿宋_GB2312" w:cs="仿宋_GB2312"/>
          <w:color w:val="000000"/>
          <w:kern w:val="0"/>
          <w:sz w:val="32"/>
          <w:szCs w:val="32"/>
          <w:lang w:eastAsia="zh-CN" w:bidi="ar"/>
        </w:rPr>
        <w:t>单位</w:t>
      </w:r>
      <w:r>
        <w:rPr>
          <w:rFonts w:hint="eastAsia" w:ascii="仿宋_GB2312" w:hAnsi="仿宋_GB2312" w:eastAsia="仿宋_GB2312" w:cs="仿宋_GB2312"/>
          <w:color w:val="000000"/>
          <w:kern w:val="0"/>
          <w:sz w:val="32"/>
          <w:szCs w:val="32"/>
          <w:lang w:bidi="ar"/>
        </w:rPr>
        <w:t>将合适的展览展品申报材料在征集时间内发送至电子邮箱（qykx@cast.org.cn）。提供的材料应真实、准确和有效，包括：</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1.填写完整的展品申报表（见附件</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bidi="ar"/>
        </w:rPr>
        <w:t>）；</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2.提供</w:t>
      </w:r>
      <w:r>
        <w:rPr>
          <w:rFonts w:hint="eastAsia" w:ascii="仿宋_GB2312" w:hAnsi="仿宋_GB2312" w:eastAsia="仿宋_GB2312" w:cs="仿宋_GB2312"/>
          <w:color w:val="000000"/>
          <w:kern w:val="0"/>
          <w:sz w:val="32"/>
          <w:szCs w:val="32"/>
          <w:lang w:eastAsia="zh-CN" w:bidi="ar"/>
        </w:rPr>
        <w:t>文字介绍材料</w:t>
      </w:r>
      <w:r>
        <w:rPr>
          <w:rFonts w:hint="eastAsia" w:ascii="仿宋_GB2312" w:hAnsi="仿宋_GB2312" w:eastAsia="仿宋_GB2312" w:cs="仿宋_GB2312"/>
          <w:color w:val="000000"/>
          <w:kern w:val="0"/>
          <w:sz w:val="32"/>
          <w:szCs w:val="32"/>
          <w:lang w:bidi="ar"/>
        </w:rPr>
        <w:t>（具体内容见上述“展品要求”部分第3条</w:t>
      </w:r>
      <w:r>
        <w:rPr>
          <w:rFonts w:hint="eastAsia" w:ascii="仿宋_GB2312" w:hAnsi="仿宋_GB2312" w:eastAsia="仿宋_GB2312" w:cs="仿宋_GB2312"/>
          <w:color w:val="000000"/>
          <w:kern w:val="0"/>
          <w:sz w:val="32"/>
          <w:szCs w:val="32"/>
          <w:lang w:eastAsia="zh-CN" w:bidi="ar"/>
        </w:rPr>
        <w:t>，一般</w:t>
      </w:r>
      <w:r>
        <w:rPr>
          <w:rFonts w:hint="eastAsia" w:ascii="仿宋_GB2312" w:hAnsi="仿宋_GB2312" w:eastAsia="仿宋_GB2312" w:cs="仿宋_GB2312"/>
          <w:color w:val="000000"/>
          <w:kern w:val="0"/>
          <w:sz w:val="32"/>
          <w:szCs w:val="32"/>
          <w:lang w:bidi="ar"/>
        </w:rPr>
        <w:t>不超过</w:t>
      </w:r>
      <w:r>
        <w:rPr>
          <w:rFonts w:hint="eastAsia" w:ascii="仿宋_GB2312" w:hAnsi="仿宋_GB2312" w:eastAsia="仿宋_GB2312" w:cs="仿宋_GB2312"/>
          <w:color w:val="000000"/>
          <w:kern w:val="0"/>
          <w:sz w:val="32"/>
          <w:szCs w:val="32"/>
          <w:lang w:val="en-US" w:eastAsia="zh-CN" w:bidi="ar"/>
        </w:rPr>
        <w:t>10</w:t>
      </w:r>
      <w:r>
        <w:rPr>
          <w:rFonts w:hint="eastAsia" w:ascii="仿宋_GB2312" w:hAnsi="仿宋_GB2312" w:eastAsia="仿宋_GB2312" w:cs="仿宋_GB2312"/>
          <w:color w:val="000000"/>
          <w:kern w:val="0"/>
          <w:sz w:val="32"/>
          <w:szCs w:val="32"/>
          <w:lang w:bidi="ar"/>
        </w:rPr>
        <w:t>00字）；</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3.提供展品的介绍视频、图片资料等。</w:t>
      </w:r>
    </w:p>
    <w:p>
      <w:pPr>
        <w:spacing w:line="560" w:lineRule="exact"/>
        <w:ind w:firstLine="640" w:firstLineChars="200"/>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（三）评审方式</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主办方在申报结束后一周内组织专家评审，拟入选展品</w:t>
      </w:r>
      <w:r>
        <w:rPr>
          <w:rFonts w:hint="eastAsia" w:ascii="仿宋_GB2312" w:hAnsi="仿宋_GB2312" w:eastAsia="仿宋_GB2312" w:cs="仿宋_GB2312"/>
          <w:color w:val="000000"/>
          <w:kern w:val="0"/>
          <w:sz w:val="32"/>
          <w:szCs w:val="32"/>
          <w:lang w:val="en-US" w:eastAsia="zh-CN" w:bidi="ar"/>
        </w:rPr>
        <w:t>10</w:t>
      </w:r>
      <w:r>
        <w:rPr>
          <w:rFonts w:hint="eastAsia" w:ascii="仿宋_GB2312" w:hAnsi="仿宋_GB2312" w:eastAsia="仿宋_GB2312" w:cs="仿宋_GB2312"/>
          <w:color w:val="000000"/>
          <w:kern w:val="0"/>
          <w:sz w:val="32"/>
          <w:szCs w:val="32"/>
          <w:lang w:bidi="ar"/>
        </w:rPr>
        <w:t>0套，评审结果另行通知。最终入选的企业需于202</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10</w:t>
      </w:r>
      <w:r>
        <w:rPr>
          <w:rFonts w:hint="eastAsia" w:ascii="仿宋_GB2312" w:hAnsi="仿宋_GB2312" w:eastAsia="仿宋_GB2312" w:cs="仿宋_GB2312"/>
          <w:color w:val="000000"/>
          <w:kern w:val="0"/>
          <w:sz w:val="32"/>
          <w:szCs w:val="32"/>
          <w:lang w:bidi="ar"/>
        </w:rPr>
        <w:t>日前将相关展品及配套设备运送至</w:t>
      </w:r>
      <w:r>
        <w:rPr>
          <w:rFonts w:hint="eastAsia" w:ascii="仿宋_GB2312" w:hAnsi="仿宋_GB2312" w:eastAsia="仿宋_GB2312"/>
          <w:color w:val="000000"/>
          <w:kern w:val="0"/>
          <w:sz w:val="32"/>
          <w:szCs w:val="32"/>
          <w:lang w:val="en-US" w:eastAsia="zh-CN"/>
        </w:rPr>
        <w:t>新疆国际会展中心</w:t>
      </w:r>
      <w:r>
        <w:rPr>
          <w:rFonts w:hint="eastAsia" w:ascii="仿宋_GB2312" w:hAnsi="仿宋_GB2312" w:eastAsia="仿宋_GB2312" w:cs="仿宋_GB2312"/>
          <w:color w:val="000000"/>
          <w:kern w:val="0"/>
          <w:sz w:val="32"/>
          <w:szCs w:val="32"/>
          <w:lang w:bidi="ar"/>
        </w:rPr>
        <w:t>。</w:t>
      </w:r>
    </w:p>
    <w:p>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六、联系方式</w:t>
      </w:r>
    </w:p>
    <w:p>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中国科协企业创新服务中心</w:t>
      </w:r>
    </w:p>
    <w:p>
      <w:pPr>
        <w:spacing w:line="56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联</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系</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bidi="ar"/>
        </w:rPr>
        <w:t>人：</w:t>
      </w:r>
      <w:r>
        <w:rPr>
          <w:rFonts w:hint="eastAsia" w:ascii="仿宋_GB2312" w:hAnsi="仿宋_GB2312" w:eastAsia="仿宋_GB2312" w:cs="仿宋_GB2312"/>
          <w:color w:val="000000"/>
          <w:kern w:val="0"/>
          <w:sz w:val="32"/>
          <w:szCs w:val="32"/>
          <w:lang w:val="en-US" w:eastAsia="zh-CN" w:bidi="ar"/>
        </w:rPr>
        <w:t>王义攀，李  昂</w:t>
      </w:r>
    </w:p>
    <w:p>
      <w:pPr>
        <w:spacing w:line="56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联系方式：（010）62174953</w:t>
      </w:r>
      <w:r>
        <w:rPr>
          <w:rFonts w:hint="eastAsia" w:ascii="仿宋_GB2312" w:hAnsi="仿宋_GB2312" w:eastAsia="仿宋_GB2312" w:cs="仿宋_GB2312"/>
          <w:color w:val="000000"/>
          <w:kern w:val="0"/>
          <w:sz w:val="32"/>
          <w:szCs w:val="32"/>
          <w:lang w:eastAsia="zh-CN" w:bidi="ar"/>
        </w:rPr>
        <w:t>，65006559</w:t>
      </w:r>
    </w:p>
    <w:p>
      <w:pPr>
        <w:spacing w:line="560" w:lineRule="exact"/>
        <w:rPr>
          <w:rFonts w:ascii="仿宋_GB2312" w:hAnsi="仿宋_GB2312" w:eastAsia="仿宋_GB2312" w:cs="仿宋_GB2312"/>
          <w:color w:val="000000"/>
          <w:kern w:val="0"/>
          <w:sz w:val="32"/>
          <w:szCs w:val="32"/>
          <w:lang w:bidi="ar"/>
        </w:rPr>
      </w:pPr>
    </w:p>
    <w:p>
      <w:pPr>
        <w:spacing w:line="560" w:lineRule="exact"/>
        <w:ind w:firstLine="640" w:firstLineChars="200"/>
        <w:rPr>
          <w:rFonts w:hint="eastAsia" w:ascii="仿宋_GB2312" w:hAnsi="仿宋_GB2312" w:eastAsia="仿宋_GB2312" w:cs="仿宋_GB2312"/>
          <w:color w:val="000000"/>
          <w:spacing w:val="-11"/>
          <w:kern w:val="0"/>
          <w:sz w:val="32"/>
          <w:szCs w:val="32"/>
          <w:lang w:bidi="ar"/>
        </w:r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spacing w:val="-17"/>
          <w:kern w:val="0"/>
          <w:sz w:val="32"/>
          <w:szCs w:val="32"/>
          <w:lang w:eastAsia="zh-CN" w:bidi="ar"/>
        </w:rPr>
        <w:t>“人工智能+”应用场景典型案例展</w:t>
      </w:r>
      <w:r>
        <w:rPr>
          <w:rFonts w:hint="eastAsia" w:ascii="仿宋_GB2312" w:hAnsi="仿宋_GB2312" w:eastAsia="仿宋_GB2312" w:cs="仿宋_GB2312"/>
          <w:color w:val="000000"/>
          <w:spacing w:val="-17"/>
          <w:kern w:val="0"/>
          <w:sz w:val="32"/>
          <w:szCs w:val="32"/>
          <w:lang w:bidi="ar"/>
        </w:rPr>
        <w:t>展品申报表</w:t>
      </w:r>
    </w:p>
    <w:p>
      <w:pPr>
        <w:spacing w:line="560" w:lineRule="exact"/>
        <w:ind w:firstLine="1600" w:firstLineChars="500"/>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2.往年有关工作情况介绍</w:t>
      </w:r>
    </w:p>
    <w:p>
      <w:pPr>
        <w:spacing w:line="560" w:lineRule="exact"/>
        <w:ind w:firstLine="640" w:firstLineChars="200"/>
        <w:rPr>
          <w:rFonts w:ascii="仿宋_GB2312" w:hAnsi="仿宋_GB2312" w:eastAsia="仿宋_GB2312" w:cs="仿宋_GB2312"/>
          <w:color w:val="000000"/>
          <w:kern w:val="0"/>
          <w:sz w:val="32"/>
          <w:szCs w:val="32"/>
          <w:lang w:bidi="ar"/>
        </w:rPr>
      </w:pPr>
    </w:p>
    <w:p>
      <w:pPr>
        <w:spacing w:line="560" w:lineRule="exact"/>
        <w:ind w:firstLine="640" w:firstLineChars="200"/>
        <w:rPr>
          <w:rFonts w:ascii="仿宋_GB2312" w:hAnsi="仿宋_GB2312" w:eastAsia="仿宋_GB2312" w:cs="仿宋_GB2312"/>
          <w:color w:val="000000"/>
          <w:kern w:val="0"/>
          <w:sz w:val="32"/>
          <w:szCs w:val="32"/>
          <w:lang w:bidi="ar"/>
        </w:rPr>
      </w:pPr>
    </w:p>
    <w:p>
      <w:pPr>
        <w:spacing w:line="560" w:lineRule="exact"/>
        <w:ind w:firstLine="640" w:firstLineChars="200"/>
        <w:jc w:val="righ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中国科协企业创新服务中心</w:t>
      </w:r>
    </w:p>
    <w:p>
      <w:pPr>
        <w:spacing w:line="560" w:lineRule="exact"/>
        <w:ind w:firstLine="5440" w:firstLineChars="17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28</w:t>
      </w:r>
      <w:r>
        <w:rPr>
          <w:rFonts w:hint="eastAsia" w:ascii="仿宋_GB2312" w:hAnsi="仿宋_GB2312" w:eastAsia="仿宋_GB2312" w:cs="仿宋_GB2312"/>
          <w:color w:val="000000"/>
          <w:kern w:val="0"/>
          <w:sz w:val="32"/>
          <w:szCs w:val="32"/>
          <w:lang w:bidi="ar"/>
        </w:rPr>
        <w:t>日</w:t>
      </w:r>
    </w:p>
    <w:p>
      <w:pPr>
        <w:pStyle w:val="15"/>
        <w:spacing w:line="360" w:lineRule="auto"/>
        <w:ind w:right="320" w:firstLine="0" w:firstLineChars="0"/>
        <w:jc w:val="left"/>
        <w:rPr>
          <w:rFonts w:hint="eastAsia" w:ascii="仿宋_GB2312" w:hAnsi="仿宋" w:eastAsia="仿宋_GB2312"/>
          <w:sz w:val="32"/>
          <w:szCs w:val="32"/>
        </w:rPr>
      </w:pPr>
    </w:p>
    <w:p>
      <w:pPr>
        <w:pStyle w:val="15"/>
        <w:spacing w:line="360" w:lineRule="auto"/>
        <w:ind w:right="320" w:firstLine="0" w:firstLineChars="0"/>
        <w:jc w:val="left"/>
        <w:rPr>
          <w:rFonts w:hint="eastAsia" w:ascii="仿宋_GB2312" w:hAnsi="仿宋" w:eastAsia="仿宋_GB2312"/>
          <w:sz w:val="32"/>
          <w:szCs w:val="32"/>
        </w:rPr>
      </w:pPr>
    </w:p>
    <w:p>
      <w:pPr>
        <w:rPr>
          <w:rFonts w:hint="default"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baseline"/>
        <w:rPr>
          <w:rFonts w:ascii="小标宋" w:hAnsi="仿宋_GB2312" w:eastAsia="小标宋"/>
          <w:sz w:val="44"/>
          <w:szCs w:val="44"/>
        </w:rPr>
      </w:pPr>
      <w:r>
        <w:rPr>
          <w:rFonts w:hint="eastAsia" w:ascii="小标宋" w:hAnsi="仿宋_GB2312" w:eastAsia="小标宋"/>
          <w:sz w:val="44"/>
          <w:szCs w:val="44"/>
          <w:lang w:eastAsia="zh-CN"/>
        </w:rPr>
        <w:t>“人工智能+”应用场景典型案例展</w:t>
      </w:r>
      <w:r>
        <w:rPr>
          <w:rFonts w:hint="eastAsia" w:ascii="小标宋" w:hAnsi="仿宋_GB2312" w:eastAsia="小标宋"/>
          <w:sz w:val="44"/>
          <w:szCs w:val="44"/>
        </w:rPr>
        <w:br w:type="textWrapping"/>
      </w:r>
      <w:r>
        <w:rPr>
          <w:rFonts w:hint="eastAsia" w:ascii="小标宋" w:hAnsi="仿宋_GB2312" w:eastAsia="小标宋"/>
          <w:sz w:val="44"/>
          <w:szCs w:val="44"/>
        </w:rPr>
        <w:t>展品申报表</w:t>
      </w:r>
    </w:p>
    <w:tbl>
      <w:tblPr>
        <w:tblStyle w:val="8"/>
        <w:tblW w:w="8920" w:type="dxa"/>
        <w:tblInd w:w="-176" w:type="dxa"/>
        <w:tblLayout w:type="fixed"/>
        <w:tblCellMar>
          <w:top w:w="0" w:type="dxa"/>
          <w:left w:w="0" w:type="dxa"/>
          <w:bottom w:w="0" w:type="dxa"/>
          <w:right w:w="0" w:type="dxa"/>
        </w:tblCellMar>
      </w:tblPr>
      <w:tblGrid>
        <w:gridCol w:w="1761"/>
        <w:gridCol w:w="1638"/>
        <w:gridCol w:w="1905"/>
        <w:gridCol w:w="1375"/>
        <w:gridCol w:w="2241"/>
      </w:tblGrid>
      <w:tr>
        <w:tblPrEx>
          <w:tblCellMar>
            <w:top w:w="0" w:type="dxa"/>
            <w:left w:w="0" w:type="dxa"/>
            <w:bottom w:w="0" w:type="dxa"/>
            <w:right w:w="0" w:type="dxa"/>
          </w:tblCellMar>
        </w:tblPrEx>
        <w:trPr>
          <w:trHeight w:val="689" w:hRule="atLeast"/>
        </w:trPr>
        <w:tc>
          <w:tcPr>
            <w:tcW w:w="8920" w:type="dxa"/>
            <w:gridSpan w:val="5"/>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116" w:lineRule="atLeast"/>
              <w:rPr>
                <w:rFonts w:cs="宋体"/>
                <w:kern w:val="0"/>
                <w:sz w:val="24"/>
              </w:rPr>
            </w:pPr>
            <w:r>
              <w:rPr>
                <w:rFonts w:hint="eastAsia" w:ascii="宋体" w:hAnsi="宋体" w:cs="宋体"/>
                <w:kern w:val="0"/>
                <w:sz w:val="24"/>
              </w:rPr>
              <w:t>我单位/个人确认如果参加</w:t>
            </w:r>
            <w:r>
              <w:rPr>
                <w:rFonts w:hint="eastAsia" w:ascii="宋体" w:hAnsi="宋体" w:cs="宋体"/>
                <w:kern w:val="0"/>
                <w:sz w:val="24"/>
                <w:lang w:eastAsia="zh-CN"/>
              </w:rPr>
              <w:t>在新疆举办的</w:t>
            </w:r>
            <w:r>
              <w:rPr>
                <w:rFonts w:hint="eastAsia" w:ascii="宋体" w:hAnsi="宋体" w:cs="宋体"/>
                <w:sz w:val="24"/>
              </w:rPr>
              <w:t>“人工智能+”应用场景典型案例展</w:t>
            </w:r>
            <w:r>
              <w:rPr>
                <w:rFonts w:hint="eastAsia" w:ascii="宋体" w:hAnsi="宋体" w:cs="宋体"/>
                <w:kern w:val="0"/>
                <w:sz w:val="24"/>
              </w:rPr>
              <w:t>，将服从主办方的有关安排。</w:t>
            </w:r>
          </w:p>
        </w:tc>
      </w:tr>
      <w:tr>
        <w:tblPrEx>
          <w:tblCellMar>
            <w:top w:w="0" w:type="dxa"/>
            <w:left w:w="0" w:type="dxa"/>
            <w:bottom w:w="0" w:type="dxa"/>
            <w:right w:w="0" w:type="dxa"/>
          </w:tblCellMar>
        </w:tblPrEx>
        <w:trPr>
          <w:trHeight w:val="528" w:hRule="atLeast"/>
        </w:trPr>
        <w:tc>
          <w:tcPr>
            <w:tcW w:w="176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cs="宋体"/>
                <w:kern w:val="0"/>
                <w:szCs w:val="21"/>
              </w:rPr>
            </w:pPr>
            <w:r>
              <w:rPr>
                <w:rFonts w:hint="eastAsia" w:ascii="宋体" w:hAnsi="宋体" w:cs="宋体"/>
                <w:kern w:val="0"/>
                <w:sz w:val="24"/>
              </w:rPr>
              <w:t>参展企业名称</w:t>
            </w:r>
          </w:p>
        </w:tc>
        <w:tc>
          <w:tcPr>
            <w:tcW w:w="7159"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i/>
                <w:kern w:val="0"/>
                <w:szCs w:val="21"/>
              </w:rPr>
            </w:pPr>
          </w:p>
        </w:tc>
      </w:tr>
      <w:tr>
        <w:tblPrEx>
          <w:tblCellMar>
            <w:top w:w="0" w:type="dxa"/>
            <w:left w:w="0" w:type="dxa"/>
            <w:bottom w:w="0" w:type="dxa"/>
            <w:right w:w="0" w:type="dxa"/>
          </w:tblCellMar>
        </w:tblPrEx>
        <w:trPr>
          <w:trHeight w:val="497" w:hRule="atLeast"/>
        </w:trPr>
        <w:tc>
          <w:tcPr>
            <w:tcW w:w="176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cs="宋体"/>
                <w:kern w:val="0"/>
                <w:szCs w:val="21"/>
              </w:rPr>
            </w:pPr>
            <w:r>
              <w:rPr>
                <w:rFonts w:hint="eastAsia" w:ascii="宋体" w:hAnsi="宋体" w:cs="宋体"/>
                <w:kern w:val="0"/>
                <w:sz w:val="24"/>
              </w:rPr>
              <w:t>参展企业地址</w:t>
            </w:r>
          </w:p>
        </w:tc>
        <w:tc>
          <w:tcPr>
            <w:tcW w:w="7159"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kern w:val="0"/>
                <w:szCs w:val="21"/>
              </w:rPr>
            </w:pPr>
          </w:p>
        </w:tc>
      </w:tr>
      <w:tr>
        <w:tblPrEx>
          <w:tblCellMar>
            <w:top w:w="0" w:type="dxa"/>
            <w:left w:w="0" w:type="dxa"/>
            <w:bottom w:w="0" w:type="dxa"/>
            <w:right w:w="0" w:type="dxa"/>
          </w:tblCellMar>
        </w:tblPrEx>
        <w:trPr>
          <w:trHeight w:val="1177" w:hRule="atLeast"/>
        </w:trPr>
        <w:tc>
          <w:tcPr>
            <w:tcW w:w="1761"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val="0"/>
              <w:topLinePunct w:val="0"/>
              <w:bidi w:val="0"/>
              <w:adjustRightInd w:val="0"/>
              <w:snapToGrid/>
              <w:spacing w:line="240" w:lineRule="auto"/>
              <w:ind w:firstLine="120" w:firstLineChars="50"/>
              <w:jc w:val="center"/>
              <w:textAlignment w:val="baseline"/>
              <w:rPr>
                <w:rFonts w:ascii="宋体" w:hAnsi="宋体" w:cs="宋体"/>
                <w:kern w:val="0"/>
                <w:sz w:val="24"/>
              </w:rPr>
            </w:pPr>
            <w:r>
              <w:rPr>
                <w:rFonts w:hint="eastAsia" w:ascii="宋体" w:hAnsi="宋体" w:cs="宋体"/>
                <w:kern w:val="0"/>
                <w:sz w:val="24"/>
              </w:rPr>
              <w:t>所属行业</w:t>
            </w:r>
          </w:p>
        </w:tc>
        <w:tc>
          <w:tcPr>
            <w:tcW w:w="7159" w:type="dxa"/>
            <w:gridSpan w:val="4"/>
            <w:tcBorders>
              <w:top w:val="nil"/>
              <w:left w:val="nil"/>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default" w:ascii="Wingdings" w:hAnsi="Wingdings" w:eastAsia="宋体" w:cs="宋体"/>
                <w:kern w:val="0"/>
                <w:sz w:val="24"/>
                <w:lang w:eastAsia="zh-CN"/>
              </w:rPr>
            </w:pPr>
            <w:r>
              <w:rPr>
                <w:rFonts w:ascii="Wingdings" w:hAnsi="Wingdings" w:cs="宋体"/>
                <w:kern w:val="0"/>
                <w:sz w:val="24"/>
              </w:rPr>
              <w:t></w:t>
            </w:r>
            <w:r>
              <w:rPr>
                <w:rFonts w:hint="default" w:ascii="Wingdings" w:hAnsi="Wingdings" w:cs="宋体"/>
                <w:kern w:val="0"/>
                <w:sz w:val="24"/>
                <w:lang w:val="en-US" w:eastAsia="zh-CN"/>
              </w:rPr>
              <w:t xml:space="preserve">工业制造 </w:t>
            </w:r>
            <w:r>
              <w:rPr>
                <w:rFonts w:ascii="Wingdings" w:hAnsi="Wingdings" w:cs="宋体"/>
                <w:kern w:val="0"/>
                <w:sz w:val="24"/>
              </w:rPr>
              <w:t></w:t>
            </w:r>
            <w:r>
              <w:rPr>
                <w:rFonts w:hint="default" w:ascii="Wingdings" w:hAnsi="Wingdings" w:cs="宋体"/>
                <w:kern w:val="0"/>
                <w:sz w:val="24"/>
                <w:lang w:val="en-US" w:eastAsia="zh-CN"/>
              </w:rPr>
              <w:t xml:space="preserve">科技创新 </w:t>
            </w:r>
            <w:r>
              <w:rPr>
                <w:rFonts w:ascii="Wingdings" w:hAnsi="Wingdings" w:cs="宋体"/>
                <w:kern w:val="0"/>
                <w:sz w:val="24"/>
              </w:rPr>
              <w:t></w:t>
            </w:r>
            <w:r>
              <w:rPr>
                <w:rFonts w:hint="default" w:ascii="Wingdings" w:hAnsi="Wingdings" w:cs="宋体"/>
                <w:kern w:val="0"/>
                <w:sz w:val="24"/>
                <w:lang w:eastAsia="zh-CN"/>
              </w:rPr>
              <w:t>智慧农业</w:t>
            </w:r>
            <w:r>
              <w:rPr>
                <w:rFonts w:hint="default" w:ascii="Wingdings" w:hAnsi="Wingdings" w:cs="宋体"/>
                <w:kern w:val="0"/>
                <w:sz w:val="24"/>
                <w:lang w:val="en-US" w:eastAsia="zh-CN"/>
              </w:rPr>
              <w:t xml:space="preserve"> </w:t>
            </w:r>
            <w:r>
              <w:rPr>
                <w:rFonts w:ascii="Wingdings" w:hAnsi="Wingdings" w:cs="宋体"/>
                <w:kern w:val="0"/>
                <w:sz w:val="24"/>
              </w:rPr>
              <w:t></w:t>
            </w:r>
            <w:r>
              <w:rPr>
                <w:rFonts w:hint="default" w:ascii="Wingdings" w:hAnsi="Wingdings" w:cs="宋体"/>
                <w:kern w:val="0"/>
                <w:sz w:val="24"/>
                <w:lang w:eastAsia="zh-CN"/>
              </w:rPr>
              <w:t>智慧能源</w:t>
            </w:r>
            <w:r>
              <w:rPr>
                <w:rFonts w:hint="default" w:ascii="Wingdings" w:hAnsi="Wingdings" w:cs="宋体"/>
                <w:kern w:val="0"/>
                <w:sz w:val="24"/>
                <w:lang w:val="en-US" w:eastAsia="zh-CN"/>
              </w:rPr>
              <w:t xml:space="preserve">  </w:t>
            </w:r>
            <w:r>
              <w:rPr>
                <w:rFonts w:ascii="Wingdings" w:hAnsi="Wingdings" w:cs="宋体"/>
                <w:kern w:val="0"/>
                <w:sz w:val="24"/>
              </w:rPr>
              <w:t></w:t>
            </w:r>
            <w:r>
              <w:rPr>
                <w:rFonts w:hint="default" w:ascii="Wingdings" w:hAnsi="Wingdings" w:cs="宋体"/>
                <w:kern w:val="0"/>
                <w:sz w:val="24"/>
                <w:lang w:val="en-US" w:eastAsia="zh-CN"/>
              </w:rPr>
              <w:t>医疗健康</w:t>
            </w:r>
          </w:p>
          <w:p>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default" w:ascii="Wingdings" w:hAnsi="Wingdings" w:eastAsia="宋体" w:cs="宋体"/>
                <w:kern w:val="0"/>
                <w:sz w:val="24"/>
                <w:lang w:eastAsia="zh-CN"/>
              </w:rPr>
            </w:pPr>
            <w:r>
              <w:rPr>
                <w:rFonts w:ascii="Wingdings" w:hAnsi="Wingdings" w:cs="宋体"/>
                <w:kern w:val="0"/>
                <w:sz w:val="24"/>
              </w:rPr>
              <w:t></w:t>
            </w:r>
            <w:r>
              <w:rPr>
                <w:rFonts w:hint="default" w:ascii="Wingdings" w:hAnsi="Wingdings" w:cs="宋体"/>
                <w:kern w:val="0"/>
                <w:sz w:val="24"/>
                <w:lang w:val="en-US" w:eastAsia="zh-CN"/>
              </w:rPr>
              <w:t xml:space="preserve">民生消费 </w:t>
            </w:r>
            <w:r>
              <w:rPr>
                <w:rFonts w:ascii="Wingdings" w:hAnsi="Wingdings" w:cs="宋体"/>
                <w:kern w:val="0"/>
                <w:sz w:val="24"/>
              </w:rPr>
              <w:t></w:t>
            </w:r>
            <w:r>
              <w:rPr>
                <w:rFonts w:hint="default" w:ascii="Wingdings" w:hAnsi="Wingdings" w:cs="宋体"/>
                <w:kern w:val="0"/>
                <w:sz w:val="24"/>
                <w:lang w:val="en-US" w:eastAsia="zh-CN"/>
              </w:rPr>
              <w:t xml:space="preserve">社会治理 </w:t>
            </w:r>
            <w:r>
              <w:rPr>
                <w:rFonts w:ascii="Wingdings" w:hAnsi="Wingdings" w:cs="宋体"/>
                <w:kern w:val="0"/>
                <w:sz w:val="24"/>
              </w:rPr>
              <w:t></w:t>
            </w:r>
            <w:r>
              <w:rPr>
                <w:rFonts w:hint="default" w:ascii="Wingdings" w:hAnsi="Wingdings" w:cs="宋体"/>
                <w:kern w:val="0"/>
                <w:sz w:val="24"/>
              </w:rPr>
              <w:t>智慧</w:t>
            </w:r>
            <w:r>
              <w:rPr>
                <w:rFonts w:hint="default" w:ascii="Wingdings" w:hAnsi="Wingdings" w:cs="宋体"/>
                <w:kern w:val="0"/>
                <w:sz w:val="24"/>
                <w:lang w:eastAsia="zh-CN"/>
              </w:rPr>
              <w:t>教育</w:t>
            </w:r>
            <w:r>
              <w:rPr>
                <w:rFonts w:hint="default" w:ascii="Wingdings" w:hAnsi="Wingdings" w:cs="宋体"/>
                <w:kern w:val="0"/>
                <w:sz w:val="24"/>
                <w:lang w:val="en-US" w:eastAsia="zh-CN"/>
              </w:rPr>
              <w:t xml:space="preserve"> </w:t>
            </w:r>
            <w:r>
              <w:rPr>
                <w:rFonts w:ascii="Wingdings" w:hAnsi="Wingdings" w:cs="宋体"/>
                <w:kern w:val="0"/>
                <w:sz w:val="24"/>
              </w:rPr>
              <w:t></w:t>
            </w:r>
            <w:r>
              <w:rPr>
                <w:rFonts w:hint="default" w:ascii="Wingdings" w:hAnsi="Wingdings" w:cs="宋体"/>
                <w:kern w:val="0"/>
                <w:sz w:val="24"/>
                <w:lang w:val="en-US" w:eastAsia="zh-CN"/>
              </w:rPr>
              <w:t xml:space="preserve">智慧城市  </w:t>
            </w:r>
            <w:r>
              <w:rPr>
                <w:rFonts w:ascii="Wingdings" w:hAnsi="Wingdings" w:cs="宋体"/>
                <w:kern w:val="0"/>
                <w:sz w:val="24"/>
              </w:rPr>
              <w:t></w:t>
            </w:r>
            <w:r>
              <w:rPr>
                <w:rFonts w:hint="default" w:ascii="Wingdings" w:hAnsi="Wingdings" w:cs="宋体"/>
                <w:kern w:val="0"/>
                <w:sz w:val="24"/>
                <w:lang w:val="en-US" w:eastAsia="zh-CN"/>
              </w:rPr>
              <w:t>公共服务</w:t>
            </w:r>
          </w:p>
          <w:p>
            <w:pPr>
              <w:keepNext w:val="0"/>
              <w:keepLines w:val="0"/>
              <w:pageBreakBefore w:val="0"/>
              <w:widowControl/>
              <w:kinsoku/>
              <w:wordWrap/>
              <w:overflowPunct w:val="0"/>
              <w:topLinePunct w:val="0"/>
              <w:autoSpaceDE w:val="0"/>
              <w:autoSpaceDN w:val="0"/>
              <w:bidi w:val="0"/>
              <w:adjustRightInd w:val="0"/>
              <w:snapToGrid/>
              <w:spacing w:line="240" w:lineRule="auto"/>
              <w:jc w:val="left"/>
              <w:textAlignment w:val="baseline"/>
              <w:rPr>
                <w:rFonts w:hint="default" w:ascii="Wingdings" w:hAnsi="Wingdings" w:eastAsia="宋体" w:cs="宋体"/>
                <w:kern w:val="0"/>
                <w:sz w:val="24"/>
                <w:lang w:val="en-US" w:eastAsia="zh-CN"/>
              </w:rPr>
            </w:pPr>
            <w:r>
              <w:rPr>
                <w:rFonts w:ascii="Wingdings" w:hAnsi="Wingdings" w:cs="宋体"/>
                <w:kern w:val="0"/>
                <w:sz w:val="24"/>
              </w:rPr>
              <w:t></w:t>
            </w:r>
            <w:r>
              <w:rPr>
                <w:rFonts w:hint="default" w:ascii="Wingdings" w:hAnsi="Wingdings" w:cs="宋体"/>
                <w:kern w:val="0"/>
                <w:sz w:val="24"/>
              </w:rPr>
              <w:t>其他</w:t>
            </w:r>
            <w:r>
              <w:rPr>
                <w:rFonts w:hint="eastAsia" w:ascii="宋体" w:hAnsi="宋体" w:eastAsia="宋体" w:cs="宋体"/>
                <w:kern w:val="0"/>
                <w:sz w:val="24"/>
                <w:u w:val="none"/>
                <w:lang w:val="en-US" w:eastAsia="zh-CN"/>
              </w:rPr>
              <w:t>____</w:t>
            </w:r>
          </w:p>
        </w:tc>
      </w:tr>
      <w:tr>
        <w:tblPrEx>
          <w:tblCellMar>
            <w:top w:w="0" w:type="dxa"/>
            <w:left w:w="0" w:type="dxa"/>
            <w:bottom w:w="0" w:type="dxa"/>
            <w:right w:w="0" w:type="dxa"/>
          </w:tblCellMar>
        </w:tblPrEx>
        <w:trPr>
          <w:trHeight w:val="494" w:hRule="atLeast"/>
        </w:trPr>
        <w:tc>
          <w:tcPr>
            <w:tcW w:w="1761" w:type="dxa"/>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ind w:firstLine="120" w:firstLineChars="50"/>
              <w:jc w:val="center"/>
              <w:textAlignment w:val="baseline"/>
              <w:rPr>
                <w:rFonts w:cs="宋体"/>
                <w:kern w:val="0"/>
                <w:szCs w:val="21"/>
              </w:rPr>
            </w:pPr>
            <w:r>
              <w:rPr>
                <w:rFonts w:hint="eastAsia" w:ascii="宋体" w:hAnsi="宋体" w:cs="宋体"/>
                <w:kern w:val="0"/>
                <w:sz w:val="24"/>
              </w:rPr>
              <w:t>联系人</w:t>
            </w:r>
          </w:p>
        </w:tc>
        <w:tc>
          <w:tcPr>
            <w:tcW w:w="3543" w:type="dxa"/>
            <w:gridSpan w:val="2"/>
            <w:tcBorders>
              <w:top w:val="nil"/>
              <w:left w:val="nil"/>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kern w:val="0"/>
                <w:szCs w:val="21"/>
              </w:rPr>
            </w:pPr>
          </w:p>
        </w:tc>
        <w:tc>
          <w:tcPr>
            <w:tcW w:w="13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cs="宋体"/>
                <w:kern w:val="0"/>
                <w:szCs w:val="21"/>
              </w:rPr>
            </w:pPr>
            <w:r>
              <w:rPr>
                <w:rFonts w:hint="eastAsia" w:ascii="宋体" w:hAnsi="宋体" w:cs="宋体"/>
                <w:kern w:val="0"/>
                <w:sz w:val="24"/>
              </w:rPr>
              <w:t>职务</w:t>
            </w:r>
          </w:p>
        </w:tc>
        <w:tc>
          <w:tcPr>
            <w:tcW w:w="2241"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kern w:val="0"/>
                <w:szCs w:val="21"/>
              </w:rPr>
            </w:pPr>
          </w:p>
        </w:tc>
      </w:tr>
      <w:tr>
        <w:tblPrEx>
          <w:tblCellMar>
            <w:top w:w="0" w:type="dxa"/>
            <w:left w:w="0" w:type="dxa"/>
            <w:bottom w:w="0" w:type="dxa"/>
            <w:right w:w="0" w:type="dxa"/>
          </w:tblCellMar>
        </w:tblPrEx>
        <w:trPr>
          <w:trHeight w:val="496" w:hRule="atLeast"/>
        </w:trPr>
        <w:tc>
          <w:tcPr>
            <w:tcW w:w="1761" w:type="dxa"/>
            <w:vMerge w:val="restart"/>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ind w:firstLine="120" w:firstLineChars="50"/>
              <w:jc w:val="center"/>
              <w:textAlignment w:val="baseline"/>
              <w:rPr>
                <w:rFonts w:cs="宋体"/>
                <w:kern w:val="0"/>
                <w:szCs w:val="21"/>
              </w:rPr>
            </w:pPr>
            <w:r>
              <w:rPr>
                <w:rFonts w:hint="eastAsia" w:ascii="宋体" w:hAnsi="宋体" w:cs="宋体"/>
                <w:kern w:val="0"/>
                <w:sz w:val="24"/>
              </w:rPr>
              <w:t>联系方式</w:t>
            </w:r>
          </w:p>
        </w:tc>
        <w:tc>
          <w:tcPr>
            <w:tcW w:w="1638"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ind w:firstLine="120" w:firstLineChars="50"/>
              <w:jc w:val="center"/>
              <w:textAlignment w:val="baseline"/>
              <w:rPr>
                <w:rFonts w:cs="宋体"/>
                <w:kern w:val="0"/>
                <w:szCs w:val="21"/>
              </w:rPr>
            </w:pPr>
            <w:r>
              <w:rPr>
                <w:rFonts w:hint="eastAsia" w:ascii="宋体" w:hAnsi="宋体" w:cs="宋体"/>
                <w:kern w:val="0"/>
                <w:sz w:val="24"/>
              </w:rPr>
              <w:t>邮箱</w:t>
            </w:r>
          </w:p>
        </w:tc>
        <w:tc>
          <w:tcPr>
            <w:tcW w:w="1905"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kern w:val="0"/>
                <w:szCs w:val="21"/>
              </w:rPr>
            </w:pPr>
          </w:p>
        </w:tc>
        <w:tc>
          <w:tcPr>
            <w:tcW w:w="13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ascii="宋体" w:hAnsi="宋体" w:cs="宋体"/>
                <w:kern w:val="0"/>
                <w:sz w:val="24"/>
              </w:rPr>
            </w:pPr>
            <w:r>
              <w:rPr>
                <w:rFonts w:hint="eastAsia" w:ascii="宋体" w:hAnsi="宋体" w:cs="宋体"/>
                <w:kern w:val="0"/>
                <w:sz w:val="24"/>
              </w:rPr>
              <w:t>座机</w:t>
            </w:r>
          </w:p>
        </w:tc>
        <w:tc>
          <w:tcPr>
            <w:tcW w:w="2241"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kern w:val="0"/>
                <w:szCs w:val="21"/>
              </w:rPr>
            </w:pPr>
          </w:p>
        </w:tc>
      </w:tr>
      <w:tr>
        <w:tblPrEx>
          <w:tblCellMar>
            <w:top w:w="0" w:type="dxa"/>
            <w:left w:w="0" w:type="dxa"/>
            <w:bottom w:w="0" w:type="dxa"/>
            <w:right w:w="0" w:type="dxa"/>
          </w:tblCellMar>
        </w:tblPrEx>
        <w:trPr>
          <w:trHeight w:val="475" w:hRule="atLeast"/>
        </w:trPr>
        <w:tc>
          <w:tcPr>
            <w:tcW w:w="1761"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cs="宋体"/>
                <w:kern w:val="0"/>
                <w:szCs w:val="21"/>
              </w:rPr>
            </w:pPr>
          </w:p>
        </w:tc>
        <w:tc>
          <w:tcPr>
            <w:tcW w:w="1638"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ind w:firstLine="120" w:firstLineChars="50"/>
              <w:textAlignment w:val="baseline"/>
              <w:rPr>
                <w:rFonts w:cs="宋体"/>
                <w:kern w:val="0"/>
                <w:szCs w:val="21"/>
              </w:rPr>
            </w:pPr>
            <w:r>
              <w:rPr>
                <w:rFonts w:hint="eastAsia" w:ascii="宋体" w:hAnsi="宋体" w:cs="宋体"/>
                <w:kern w:val="0"/>
                <w:sz w:val="24"/>
              </w:rPr>
              <w:t>手机（必填）</w:t>
            </w:r>
          </w:p>
        </w:tc>
        <w:tc>
          <w:tcPr>
            <w:tcW w:w="1905" w:type="dxa"/>
            <w:tcBorders>
              <w:top w:val="nil"/>
              <w:left w:val="nil"/>
              <w:bottom w:val="single" w:color="000000" w:sz="8" w:space="0"/>
              <w:right w:val="single" w:color="000000" w:sz="8" w:space="0"/>
            </w:tcBorders>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kern w:val="0"/>
                <w:szCs w:val="21"/>
              </w:rPr>
            </w:pPr>
          </w:p>
        </w:tc>
        <w:tc>
          <w:tcPr>
            <w:tcW w:w="13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ascii="宋体" w:hAnsi="宋体" w:cs="宋体"/>
                <w:kern w:val="0"/>
                <w:sz w:val="24"/>
              </w:rPr>
            </w:pPr>
            <w:r>
              <w:rPr>
                <w:rFonts w:hint="eastAsia" w:ascii="宋体" w:hAnsi="宋体" w:cs="宋体"/>
                <w:kern w:val="0"/>
                <w:sz w:val="24"/>
              </w:rPr>
              <w:t>微信</w:t>
            </w:r>
          </w:p>
        </w:tc>
        <w:tc>
          <w:tcPr>
            <w:tcW w:w="2241"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kern w:val="0"/>
                <w:szCs w:val="21"/>
              </w:rPr>
            </w:pPr>
          </w:p>
        </w:tc>
      </w:tr>
      <w:tr>
        <w:tblPrEx>
          <w:tblCellMar>
            <w:top w:w="0" w:type="dxa"/>
            <w:left w:w="0" w:type="dxa"/>
            <w:bottom w:w="0" w:type="dxa"/>
            <w:right w:w="0" w:type="dxa"/>
          </w:tblCellMar>
        </w:tblPrEx>
        <w:trPr>
          <w:trHeight w:val="448" w:hRule="atLeast"/>
        </w:trPr>
        <w:tc>
          <w:tcPr>
            <w:tcW w:w="176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ascii="宋体" w:hAnsi="宋体" w:cs="宋体"/>
                <w:kern w:val="0"/>
                <w:sz w:val="24"/>
              </w:rPr>
            </w:pPr>
            <w:r>
              <w:rPr>
                <w:rFonts w:hint="eastAsia" w:ascii="Wingdings" w:hAnsi="Wingdings" w:cs="宋体"/>
                <w:kern w:val="0"/>
                <w:sz w:val="24"/>
              </w:rPr>
              <w:t>展品名称</w:t>
            </w:r>
          </w:p>
        </w:tc>
        <w:tc>
          <w:tcPr>
            <w:tcW w:w="7159"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ind w:left="163"/>
              <w:textAlignment w:val="baseline"/>
              <w:rPr>
                <w:rFonts w:cs="宋体"/>
                <w:kern w:val="0"/>
                <w:szCs w:val="21"/>
              </w:rPr>
            </w:pPr>
          </w:p>
        </w:tc>
      </w:tr>
      <w:tr>
        <w:tblPrEx>
          <w:tblCellMar>
            <w:top w:w="0" w:type="dxa"/>
            <w:left w:w="0" w:type="dxa"/>
            <w:bottom w:w="0" w:type="dxa"/>
            <w:right w:w="0" w:type="dxa"/>
          </w:tblCellMar>
        </w:tblPrEx>
        <w:trPr>
          <w:trHeight w:val="491" w:hRule="atLeast"/>
        </w:trPr>
        <w:tc>
          <w:tcPr>
            <w:tcW w:w="176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bidi w:val="0"/>
              <w:adjustRightInd w:val="0"/>
              <w:snapToGrid/>
              <w:spacing w:line="240" w:lineRule="auto"/>
              <w:jc w:val="center"/>
              <w:textAlignment w:val="baseline"/>
              <w:rPr>
                <w:rFonts w:cs="宋体"/>
                <w:kern w:val="0"/>
                <w:szCs w:val="21"/>
              </w:rPr>
            </w:pPr>
            <w:r>
              <w:rPr>
                <w:rFonts w:hint="eastAsia" w:ascii="宋体" w:hAnsi="宋体" w:cs="宋体"/>
                <w:kern w:val="0"/>
                <w:sz w:val="24"/>
              </w:rPr>
              <w:t>展示形式</w:t>
            </w:r>
          </w:p>
        </w:tc>
        <w:tc>
          <w:tcPr>
            <w:tcW w:w="7159"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cs="宋体"/>
                <w:kern w:val="0"/>
                <w:szCs w:val="21"/>
              </w:rPr>
            </w:pPr>
            <w:r>
              <w:rPr>
                <w:rFonts w:ascii="Wingdings" w:hAnsi="Wingdings" w:cs="宋体"/>
                <w:kern w:val="0"/>
                <w:sz w:val="24"/>
              </w:rPr>
              <w:t></w:t>
            </w:r>
            <w:r>
              <w:rPr>
                <w:rFonts w:hint="eastAsia" w:ascii="宋体" w:hAnsi="宋体" w:cs="宋体"/>
                <w:kern w:val="0"/>
                <w:sz w:val="24"/>
              </w:rPr>
              <w:t xml:space="preserve">展板  </w:t>
            </w:r>
            <w:r>
              <w:rPr>
                <w:rFonts w:ascii="Wingdings" w:hAnsi="Wingdings" w:cs="宋体"/>
                <w:kern w:val="0"/>
                <w:sz w:val="24"/>
              </w:rPr>
              <w:t></w:t>
            </w:r>
            <w:r>
              <w:rPr>
                <w:rFonts w:hint="eastAsia" w:ascii="宋体" w:hAnsi="宋体" w:cs="宋体"/>
                <w:kern w:val="0"/>
                <w:sz w:val="24"/>
              </w:rPr>
              <w:t xml:space="preserve">互动展品  </w:t>
            </w:r>
            <w:r>
              <w:rPr>
                <w:rFonts w:ascii="Wingdings" w:hAnsi="Wingdings" w:cs="宋体"/>
                <w:kern w:val="0"/>
                <w:sz w:val="24"/>
              </w:rPr>
              <w:t></w:t>
            </w:r>
            <w:r>
              <w:rPr>
                <w:rFonts w:hint="eastAsia" w:ascii="宋体" w:hAnsi="宋体" w:cs="宋体"/>
                <w:kern w:val="0"/>
                <w:sz w:val="24"/>
              </w:rPr>
              <w:t xml:space="preserve">多媒体播放  </w:t>
            </w:r>
            <w:r>
              <w:rPr>
                <w:rFonts w:ascii="Wingdings" w:hAnsi="Wingdings" w:cs="宋体"/>
                <w:kern w:val="0"/>
                <w:sz w:val="24"/>
              </w:rPr>
              <w:t></w:t>
            </w:r>
            <w:r>
              <w:rPr>
                <w:rFonts w:hint="eastAsia" w:ascii="宋体" w:hAnsi="宋体" w:cs="宋体"/>
                <w:kern w:val="0"/>
                <w:sz w:val="24"/>
              </w:rPr>
              <w:t>其他</w:t>
            </w:r>
            <w:r>
              <w:rPr>
                <w:rFonts w:ascii="宋体" w:hAnsi="宋体" w:cs="宋体"/>
                <w:kern w:val="0"/>
                <w:sz w:val="24"/>
                <w:u w:val="single"/>
              </w:rPr>
              <w:t xml:space="preserve">      </w:t>
            </w:r>
          </w:p>
        </w:tc>
      </w:tr>
      <w:tr>
        <w:tblPrEx>
          <w:tblCellMar>
            <w:top w:w="0" w:type="dxa"/>
            <w:left w:w="0" w:type="dxa"/>
            <w:bottom w:w="0" w:type="dxa"/>
            <w:right w:w="0" w:type="dxa"/>
          </w:tblCellMar>
        </w:tblPrEx>
        <w:trPr>
          <w:trHeight w:val="460" w:hRule="atLeast"/>
        </w:trPr>
        <w:tc>
          <w:tcPr>
            <w:tcW w:w="1761"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bidi w:val="0"/>
              <w:adjustRightInd w:val="0"/>
              <w:snapToGrid/>
              <w:spacing w:line="240" w:lineRule="auto"/>
              <w:jc w:val="center"/>
              <w:textAlignment w:val="baseline"/>
              <w:rPr>
                <w:rFonts w:ascii="宋体" w:hAnsi="宋体" w:cs="宋体"/>
                <w:kern w:val="0"/>
                <w:sz w:val="24"/>
              </w:rPr>
            </w:pPr>
            <w:r>
              <w:rPr>
                <w:rFonts w:hint="eastAsia" w:ascii="宋体" w:hAnsi="宋体" w:cs="宋体"/>
                <w:kern w:val="0"/>
                <w:sz w:val="24"/>
              </w:rPr>
              <w:t>相关信息</w:t>
            </w:r>
          </w:p>
        </w:tc>
        <w:tc>
          <w:tcPr>
            <w:tcW w:w="7159" w:type="dxa"/>
            <w:gridSpan w:val="4"/>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160" w:lineRule="atLeast"/>
              <w:rPr>
                <w:rFonts w:hint="eastAsia" w:ascii="宋体" w:hAnsi="宋体" w:eastAsia="宋体" w:cs="宋体"/>
                <w:kern w:val="0"/>
                <w:sz w:val="24"/>
              </w:rPr>
            </w:pPr>
            <w:r>
              <w:rPr>
                <w:rFonts w:hint="eastAsia" w:ascii="宋体" w:hAnsi="宋体" w:eastAsia="宋体" w:cs="宋体"/>
                <w:kern w:val="0"/>
                <w:sz w:val="24"/>
              </w:rPr>
              <w:t>展品总净重：</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（公斤），包装后重量</w:t>
            </w:r>
            <w:r>
              <w:rPr>
                <w:rFonts w:hint="eastAsia" w:ascii="宋体" w:hAnsi="宋体" w:eastAsia="宋体" w:cs="宋体"/>
                <w:kern w:val="0"/>
                <w:sz w:val="24"/>
                <w:u w:val="single"/>
              </w:rPr>
              <w:t xml:space="preserve">    </w:t>
            </w:r>
            <w:r>
              <w:rPr>
                <w:rFonts w:hint="eastAsia" w:ascii="宋体" w:hAnsi="宋体" w:eastAsia="宋体" w:cs="宋体"/>
                <w:kern w:val="0"/>
                <w:sz w:val="24"/>
              </w:rPr>
              <w:t>（公斤）</w:t>
            </w:r>
          </w:p>
        </w:tc>
      </w:tr>
      <w:tr>
        <w:tblPrEx>
          <w:tblCellMar>
            <w:top w:w="0" w:type="dxa"/>
            <w:left w:w="0" w:type="dxa"/>
            <w:bottom w:w="0" w:type="dxa"/>
            <w:right w:w="0" w:type="dxa"/>
          </w:tblCellMar>
        </w:tblPrEx>
        <w:trPr>
          <w:trHeight w:val="405" w:hRule="atLeast"/>
        </w:trPr>
        <w:tc>
          <w:tcPr>
            <w:tcW w:w="1761" w:type="dxa"/>
            <w:vMerge w:val="continue"/>
            <w:tcBorders>
              <w:top w:val="nil"/>
              <w:left w:val="single" w:color="000000" w:sz="8" w:space="0"/>
              <w:bottom w:val="single" w:color="000000" w:sz="8" w:space="0"/>
              <w:right w:val="single" w:color="000000" w:sz="8" w:space="0"/>
            </w:tcBorders>
            <w:vAlign w:val="center"/>
          </w:tcPr>
          <w:p>
            <w:pPr>
              <w:widowControl/>
              <w:jc w:val="center"/>
              <w:rPr>
                <w:rFonts w:ascii="宋体" w:hAnsi="宋体" w:cs="宋体"/>
                <w:kern w:val="0"/>
                <w:sz w:val="24"/>
              </w:rPr>
            </w:pPr>
          </w:p>
        </w:tc>
        <w:tc>
          <w:tcPr>
            <w:tcW w:w="7159" w:type="dxa"/>
            <w:gridSpan w:val="4"/>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spacing w:line="159" w:lineRule="atLeast"/>
              <w:rPr>
                <w:rFonts w:hint="eastAsia" w:ascii="宋体" w:hAnsi="宋体" w:eastAsia="宋体" w:cs="宋体"/>
                <w:kern w:val="0"/>
                <w:sz w:val="24"/>
              </w:rPr>
            </w:pPr>
            <w:r>
              <w:rPr>
                <w:rFonts w:hint="eastAsia" w:ascii="宋体" w:hAnsi="宋体" w:eastAsia="宋体" w:cs="宋体"/>
                <w:kern w:val="0"/>
                <w:sz w:val="24"/>
              </w:rPr>
              <w:t>展品所在地：</w:t>
            </w:r>
            <w:r>
              <w:rPr>
                <w:rFonts w:hint="eastAsia" w:ascii="宋体" w:hAnsi="宋体" w:eastAsia="宋体" w:cs="宋体"/>
                <w:kern w:val="0"/>
                <w:sz w:val="24"/>
                <w:u w:val="single"/>
              </w:rPr>
              <w:t></w:t>
            </w:r>
            <w:r>
              <w:rPr>
                <w:rFonts w:hint="eastAsia" w:ascii="宋体" w:hAnsi="宋体" w:eastAsia="宋体" w:cs="宋体"/>
                <w:kern w:val="0"/>
                <w:sz w:val="24"/>
              </w:rPr>
              <w:t>包装后尺寸</w:t>
            </w:r>
            <w:r>
              <w:rPr>
                <w:rFonts w:hint="eastAsia" w:ascii="宋体" w:hAnsi="宋体" w:eastAsia="宋体" w:cs="宋体"/>
                <w:kern w:val="0"/>
                <w:sz w:val="24"/>
                <w:u w:val="single"/>
              </w:rPr>
              <w:t xml:space="preserve">  m×     m×   m</w:t>
            </w:r>
          </w:p>
        </w:tc>
      </w:tr>
      <w:tr>
        <w:tblPrEx>
          <w:tblCellMar>
            <w:top w:w="0" w:type="dxa"/>
            <w:left w:w="0" w:type="dxa"/>
            <w:bottom w:w="0" w:type="dxa"/>
            <w:right w:w="0" w:type="dxa"/>
          </w:tblCellMar>
        </w:tblPrEx>
        <w:trPr>
          <w:trHeight w:val="422" w:hRule="atLeast"/>
        </w:trPr>
        <w:tc>
          <w:tcPr>
            <w:tcW w:w="1761"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360" w:lineRule="auto"/>
              <w:jc w:val="center"/>
              <w:rPr>
                <w:rFonts w:cs="宋体"/>
                <w:kern w:val="0"/>
                <w:szCs w:val="21"/>
              </w:rPr>
            </w:pPr>
            <w:r>
              <w:rPr>
                <w:rFonts w:hint="eastAsia" w:ascii="宋体" w:hAnsi="宋体" w:cs="宋体"/>
                <w:kern w:val="0"/>
                <w:sz w:val="24"/>
              </w:rPr>
              <w:t>布展要求</w:t>
            </w:r>
          </w:p>
        </w:tc>
        <w:tc>
          <w:tcPr>
            <w:tcW w:w="7159"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kern w:val="0"/>
                <w:szCs w:val="21"/>
                <w:u w:val="single"/>
              </w:rPr>
            </w:pPr>
            <w:r>
              <w:rPr>
                <w:rFonts w:hint="eastAsia" w:ascii="宋体" w:hAnsi="宋体" w:eastAsia="宋体" w:cs="宋体"/>
                <w:kern w:val="0"/>
                <w:sz w:val="24"/>
              </w:rPr>
              <w:t>1.是否需用水：</w:t>
            </w:r>
            <w:r>
              <w:rPr>
                <w:rFonts w:hint="eastAsia" w:ascii="宋体" w:hAnsi="宋体" w:eastAsia="宋体" w:cs="宋体"/>
                <w:kern w:val="0"/>
                <w:sz w:val="24"/>
                <w:u w:val="single"/>
              </w:rPr>
              <w:t xml:space="preserve">              </w:t>
            </w:r>
          </w:p>
        </w:tc>
      </w:tr>
      <w:tr>
        <w:tblPrEx>
          <w:tblCellMar>
            <w:top w:w="0" w:type="dxa"/>
            <w:left w:w="0" w:type="dxa"/>
            <w:bottom w:w="0" w:type="dxa"/>
            <w:right w:w="0" w:type="dxa"/>
          </w:tblCellMar>
        </w:tblPrEx>
        <w:trPr>
          <w:trHeight w:val="486" w:hRule="atLeast"/>
        </w:trPr>
        <w:tc>
          <w:tcPr>
            <w:tcW w:w="1761" w:type="dxa"/>
            <w:vMerge w:val="continue"/>
            <w:tcBorders>
              <w:top w:val="nil"/>
              <w:left w:val="single" w:color="000000" w:sz="8" w:space="0"/>
              <w:bottom w:val="single" w:color="000000" w:sz="8" w:space="0"/>
              <w:right w:val="single" w:color="000000" w:sz="8" w:space="0"/>
            </w:tcBorders>
            <w:vAlign w:val="center"/>
          </w:tcPr>
          <w:p>
            <w:pPr>
              <w:widowControl/>
              <w:jc w:val="center"/>
              <w:rPr>
                <w:rFonts w:cs="宋体"/>
                <w:kern w:val="0"/>
                <w:szCs w:val="21"/>
              </w:rPr>
            </w:pPr>
          </w:p>
        </w:tc>
        <w:tc>
          <w:tcPr>
            <w:tcW w:w="7159"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kern w:val="0"/>
                <w:szCs w:val="21"/>
              </w:rPr>
            </w:pPr>
            <w:r>
              <w:rPr>
                <w:rFonts w:hint="eastAsia" w:ascii="宋体" w:hAnsi="宋体" w:eastAsia="宋体" w:cs="宋体"/>
                <w:kern w:val="0"/>
                <w:sz w:val="24"/>
              </w:rPr>
              <w:t>2.特殊用电：</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A </w:t>
            </w:r>
            <w:r>
              <w:rPr>
                <w:rFonts w:hint="eastAsia" w:ascii="宋体" w:hAnsi="宋体" w:eastAsia="宋体" w:cs="宋体"/>
                <w:kern w:val="0"/>
                <w:sz w:val="24"/>
                <w:u w:val="single"/>
              </w:rPr>
              <w:t xml:space="preserve">       </w:t>
            </w:r>
            <w:r>
              <w:rPr>
                <w:rFonts w:hint="eastAsia" w:ascii="宋体" w:hAnsi="宋体" w:eastAsia="宋体" w:cs="宋体"/>
                <w:kern w:val="0"/>
                <w:sz w:val="24"/>
              </w:rPr>
              <w:t>V  是否需要不间断供电：______</w:t>
            </w:r>
          </w:p>
        </w:tc>
      </w:tr>
      <w:tr>
        <w:tblPrEx>
          <w:tblCellMar>
            <w:top w:w="0" w:type="dxa"/>
            <w:left w:w="0" w:type="dxa"/>
            <w:bottom w:w="0" w:type="dxa"/>
            <w:right w:w="0" w:type="dxa"/>
          </w:tblCellMar>
        </w:tblPrEx>
        <w:trPr>
          <w:trHeight w:val="401" w:hRule="atLeast"/>
        </w:trPr>
        <w:tc>
          <w:tcPr>
            <w:tcW w:w="1761" w:type="dxa"/>
            <w:vMerge w:val="continue"/>
            <w:tcBorders>
              <w:top w:val="nil"/>
              <w:left w:val="single" w:color="000000" w:sz="8" w:space="0"/>
              <w:bottom w:val="single" w:color="000000" w:sz="8" w:space="0"/>
              <w:right w:val="single" w:color="000000" w:sz="8" w:space="0"/>
            </w:tcBorders>
            <w:vAlign w:val="center"/>
          </w:tcPr>
          <w:p>
            <w:pPr>
              <w:widowControl/>
              <w:jc w:val="center"/>
              <w:rPr>
                <w:rFonts w:cs="宋体"/>
                <w:kern w:val="0"/>
                <w:szCs w:val="21"/>
              </w:rPr>
            </w:pPr>
          </w:p>
        </w:tc>
        <w:tc>
          <w:tcPr>
            <w:tcW w:w="7159"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kern w:val="0"/>
                <w:szCs w:val="21"/>
                <w:u w:val="single"/>
              </w:rPr>
            </w:pPr>
            <w:r>
              <w:rPr>
                <w:rFonts w:hint="eastAsia" w:ascii="宋体" w:hAnsi="宋体" w:eastAsia="宋体" w:cs="宋体"/>
                <w:kern w:val="0"/>
                <w:sz w:val="24"/>
              </w:rPr>
              <w:t>3.通讯端口：是否需要网络连接</w:t>
            </w:r>
            <w:r>
              <w:rPr>
                <w:rFonts w:hint="eastAsia" w:ascii="宋体" w:hAnsi="宋体" w:eastAsia="宋体" w:cs="宋体"/>
                <w:kern w:val="0"/>
                <w:sz w:val="24"/>
                <w:u w:val="single"/>
              </w:rPr>
              <w:t xml:space="preserve">        </w:t>
            </w:r>
          </w:p>
        </w:tc>
      </w:tr>
      <w:tr>
        <w:tblPrEx>
          <w:tblCellMar>
            <w:top w:w="0" w:type="dxa"/>
            <w:left w:w="0" w:type="dxa"/>
            <w:bottom w:w="0" w:type="dxa"/>
            <w:right w:w="0" w:type="dxa"/>
          </w:tblCellMar>
        </w:tblPrEx>
        <w:trPr>
          <w:trHeight w:val="520" w:hRule="atLeast"/>
        </w:trPr>
        <w:tc>
          <w:tcPr>
            <w:tcW w:w="1761" w:type="dxa"/>
            <w:vMerge w:val="continue"/>
            <w:tcBorders>
              <w:top w:val="nil"/>
              <w:left w:val="single" w:color="000000" w:sz="8" w:space="0"/>
              <w:bottom w:val="single" w:color="000000" w:sz="8" w:space="0"/>
              <w:right w:val="single" w:color="000000" w:sz="8" w:space="0"/>
            </w:tcBorders>
            <w:vAlign w:val="center"/>
          </w:tcPr>
          <w:p>
            <w:pPr>
              <w:widowControl/>
              <w:jc w:val="center"/>
              <w:rPr>
                <w:rFonts w:cs="宋体"/>
                <w:kern w:val="0"/>
                <w:szCs w:val="21"/>
              </w:rPr>
            </w:pPr>
          </w:p>
        </w:tc>
        <w:tc>
          <w:tcPr>
            <w:tcW w:w="7159"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val="0"/>
              <w:topLinePunct w:val="0"/>
              <w:autoSpaceDE w:val="0"/>
              <w:autoSpaceDN w:val="0"/>
              <w:bidi w:val="0"/>
              <w:adjustRightInd w:val="0"/>
              <w:snapToGrid/>
              <w:spacing w:line="240" w:lineRule="auto"/>
              <w:textAlignment w:val="baseline"/>
              <w:rPr>
                <w:rFonts w:hint="eastAsia" w:ascii="宋体" w:hAnsi="宋体" w:eastAsia="宋体" w:cs="宋体"/>
                <w:kern w:val="0"/>
                <w:szCs w:val="21"/>
                <w:u w:val="single"/>
              </w:rPr>
            </w:pPr>
            <w:r>
              <w:rPr>
                <w:rFonts w:hint="eastAsia" w:ascii="宋体" w:hAnsi="宋体" w:eastAsia="宋体" w:cs="宋体"/>
                <w:kern w:val="0"/>
                <w:sz w:val="24"/>
              </w:rPr>
              <w:t>4.其它要求：</w:t>
            </w:r>
            <w:r>
              <w:rPr>
                <w:rFonts w:hint="eastAsia" w:ascii="宋体" w:hAnsi="宋体" w:eastAsia="宋体" w:cs="宋体"/>
                <w:kern w:val="0"/>
                <w:sz w:val="24"/>
                <w:u w:val="single"/>
              </w:rPr>
              <w:t xml:space="preserve">               </w:t>
            </w:r>
          </w:p>
        </w:tc>
      </w:tr>
      <w:tr>
        <w:tblPrEx>
          <w:tblCellMar>
            <w:top w:w="0" w:type="dxa"/>
            <w:left w:w="0" w:type="dxa"/>
            <w:bottom w:w="0" w:type="dxa"/>
            <w:right w:w="0" w:type="dxa"/>
          </w:tblCellMar>
        </w:tblPrEx>
        <w:trPr>
          <w:trHeight w:val="2304" w:hRule="atLeast"/>
        </w:trPr>
        <w:tc>
          <w:tcPr>
            <w:tcW w:w="176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0"/>
                <w:sz w:val="24"/>
              </w:rPr>
            </w:pPr>
            <w:r>
              <w:rPr>
                <w:rFonts w:hint="eastAsia" w:ascii="宋体" w:hAnsi="宋体" w:cs="宋体"/>
                <w:kern w:val="0"/>
                <w:sz w:val="24"/>
              </w:rPr>
              <w:t>展品详细介绍</w:t>
            </w:r>
          </w:p>
        </w:tc>
        <w:tc>
          <w:tcPr>
            <w:tcW w:w="7159" w:type="dxa"/>
            <w:gridSpan w:val="4"/>
            <w:tcBorders>
              <w:top w:val="single" w:color="000000" w:sz="8" w:space="0"/>
              <w:left w:val="nil"/>
              <w:bottom w:val="single" w:color="000000" w:sz="8" w:space="0"/>
              <w:right w:val="single" w:color="000000"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kern w:val="0"/>
                <w:sz w:val="24"/>
                <w:lang w:val="en-US"/>
              </w:rPr>
            </w:pPr>
            <w:r>
              <w:rPr>
                <w:rFonts w:hint="eastAsia" w:ascii="宋体" w:hAnsi="宋体" w:eastAsia="宋体" w:cs="宋体"/>
                <w:kern w:val="0"/>
                <w:sz w:val="24"/>
              </w:rPr>
              <w:t>展品</w:t>
            </w:r>
            <w:r>
              <w:rPr>
                <w:rFonts w:hint="eastAsia" w:ascii="宋体" w:hAnsi="宋体" w:eastAsia="宋体" w:cs="宋体"/>
                <w:kern w:val="0"/>
                <w:sz w:val="24"/>
                <w:lang w:eastAsia="zh-CN"/>
              </w:rPr>
              <w:t>名称</w:t>
            </w:r>
            <w:r>
              <w:rPr>
                <w:rFonts w:hint="eastAsia" w:ascii="宋体" w:hAnsi="宋体" w:eastAsia="宋体" w:cs="宋体"/>
                <w:kern w:val="0"/>
                <w:sz w:val="24"/>
              </w:rPr>
              <w:t>：</w:t>
            </w:r>
            <w:r>
              <w:rPr>
                <w:rFonts w:hint="eastAsia" w:ascii="宋体" w:hAnsi="宋体" w:eastAsia="宋体" w:cs="宋体"/>
                <w:kern w:val="0"/>
                <w:sz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kern w:val="0"/>
                <w:sz w:val="24"/>
              </w:rPr>
            </w:pPr>
            <w:r>
              <w:rPr>
                <w:rFonts w:hint="eastAsia" w:ascii="宋体" w:hAnsi="宋体" w:eastAsia="宋体" w:cs="宋体"/>
                <w:kern w:val="0"/>
                <w:sz w:val="24"/>
              </w:rPr>
              <w:t>互动方式及原理简介：</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kern w:val="0"/>
                <w:sz w:val="24"/>
              </w:rPr>
            </w:pPr>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kern w:val="0"/>
                <w:sz w:val="24"/>
              </w:rPr>
            </w:pPr>
            <w:r>
              <w:rPr>
                <w:rFonts w:hint="eastAsia" w:ascii="宋体" w:hAnsi="宋体" w:eastAsia="宋体" w:cs="宋体"/>
                <w:kern w:val="0"/>
                <w:sz w:val="24"/>
              </w:rPr>
              <w:t>效果图或照片：（每件展品必须提供此件展品单独照片或效果图）</w:t>
            </w:r>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kern w:val="0"/>
                <w:sz w:val="24"/>
              </w:rPr>
            </w:pPr>
          </w:p>
          <w:p>
            <w:pPr>
              <w:keepNext w:val="0"/>
              <w:keepLines w:val="0"/>
              <w:pageBreakBefore w:val="0"/>
              <w:widowControl/>
              <w:kinsoku/>
              <w:wordWrap/>
              <w:overflowPunct/>
              <w:topLinePunct w:val="0"/>
              <w:autoSpaceDE/>
              <w:autoSpaceDN/>
              <w:bidi w:val="0"/>
              <w:adjustRightInd/>
              <w:snapToGrid/>
              <w:spacing w:line="312" w:lineRule="auto"/>
              <w:textAlignment w:val="auto"/>
              <w:rPr>
                <w:rFonts w:hint="eastAsia" w:ascii="宋体" w:hAnsi="宋体" w:eastAsia="宋体" w:cs="宋体"/>
                <w:kern w:val="0"/>
                <w:sz w:val="24"/>
              </w:rPr>
            </w:pPr>
            <w:r>
              <w:rPr>
                <w:rFonts w:hint="eastAsia" w:ascii="宋体" w:hAnsi="宋体" w:eastAsia="宋体" w:cs="宋体"/>
                <w:kern w:val="0"/>
                <w:sz w:val="24"/>
              </w:rPr>
              <w:t>若表格不便于填写，可在表格后面单独附相关内容</w:t>
            </w:r>
          </w:p>
        </w:tc>
      </w:tr>
      <w:tr>
        <w:tblPrEx>
          <w:tblCellMar>
            <w:top w:w="0" w:type="dxa"/>
            <w:left w:w="0" w:type="dxa"/>
            <w:bottom w:w="0" w:type="dxa"/>
            <w:right w:w="0" w:type="dxa"/>
          </w:tblCellMar>
        </w:tblPrEx>
        <w:trPr>
          <w:trHeight w:val="551" w:hRule="atLeast"/>
        </w:trPr>
        <w:tc>
          <w:tcPr>
            <w:tcW w:w="176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宋体" w:eastAsia="仿宋_GB2312"/>
                <w:sz w:val="24"/>
                <w:szCs w:val="20"/>
              </w:rPr>
            </w:pPr>
            <w:r>
              <w:rPr>
                <w:rFonts w:hint="eastAsia" w:ascii="宋体" w:hAnsi="宋体" w:cs="宋体"/>
                <w:kern w:val="0"/>
                <w:sz w:val="24"/>
              </w:rPr>
              <w:t>是否提供视频</w:t>
            </w:r>
          </w:p>
        </w:tc>
        <w:tc>
          <w:tcPr>
            <w:tcW w:w="7159" w:type="dxa"/>
            <w:gridSpan w:val="4"/>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rPr>
                <w:rFonts w:ascii="仿宋_GB2312" w:hAnsi="宋体" w:eastAsia="仿宋_GB2312"/>
                <w:sz w:val="24"/>
                <w:szCs w:val="20"/>
              </w:rPr>
            </w:pPr>
            <w:r>
              <w:rPr>
                <w:rFonts w:hint="eastAsia" w:ascii="宋体" w:hAnsi="宋体" w:cs="宋体"/>
                <w:kern w:val="0"/>
                <w:sz w:val="24"/>
              </w:rPr>
              <w:t>□是 □否 注：要求视频资源格式为flv或MP4。</w:t>
            </w:r>
            <w:r>
              <w:rPr>
                <w:rFonts w:ascii="宋体" w:hAnsi="宋体" w:cs="宋体"/>
                <w:kern w:val="0"/>
                <w:sz w:val="24"/>
              </w:rPr>
              <w:t xml:space="preserve"> </w:t>
            </w:r>
          </w:p>
        </w:tc>
      </w:tr>
    </w:tbl>
    <w:p>
      <w:pPr>
        <w:pStyle w:val="15"/>
        <w:spacing w:line="360" w:lineRule="auto"/>
        <w:ind w:left="0" w:leftChars="0" w:right="320" w:firstLine="0" w:firstLineChars="0"/>
        <w:jc w:val="left"/>
        <w:rPr>
          <w:rFonts w:hint="default" w:ascii="仿宋_GB2312" w:hAnsi="仿宋_GB2312" w:eastAsia="仿宋_GB2312" w:cs="仿宋_GB2312"/>
          <w:w w:val="95"/>
          <w:sz w:val="32"/>
          <w:szCs w:val="32"/>
          <w:lang w:val="en-US" w:eastAsia="zh-CN"/>
        </w:rPr>
        <w:sectPr>
          <w:footerReference r:id="rId3" w:type="default"/>
          <w:pgSz w:w="11907" w:h="16840"/>
          <w:pgMar w:top="1701" w:right="1739" w:bottom="851" w:left="1848" w:header="0" w:footer="1446" w:gutter="0"/>
          <w:pgNumType w:fmt="decimal"/>
          <w:cols w:space="425" w:num="1"/>
          <w:docGrid w:linePitch="381" w:charSpace="-5735"/>
        </w:sect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kinsoku/>
        <w:wordWrap/>
        <w:overflowPunct w:val="0"/>
        <w:topLinePunct w:val="0"/>
        <w:autoSpaceDE w:val="0"/>
        <w:autoSpaceDN w:val="0"/>
        <w:bidi w:val="0"/>
        <w:adjustRightInd w:val="0"/>
        <w:snapToGrid/>
        <w:spacing w:line="600" w:lineRule="exact"/>
        <w:jc w:val="center"/>
        <w:textAlignment w:val="baseline"/>
        <w:rPr>
          <w:rFonts w:ascii="小标宋" w:hAnsi="仿宋_GB2312" w:eastAsia="小标宋"/>
          <w:sz w:val="44"/>
          <w:szCs w:val="44"/>
        </w:rPr>
      </w:pPr>
      <w:r>
        <w:rPr>
          <w:rFonts w:hint="eastAsia" w:ascii="小标宋" w:hAnsi="仿宋_GB2312" w:eastAsia="小标宋"/>
          <w:sz w:val="44"/>
          <w:szCs w:val="44"/>
        </w:rPr>
        <w:t>有关工作情况介绍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kern w:val="2"/>
          <w:sz w:val="32"/>
          <w:szCs w:val="32"/>
          <w:lang w:val="en-US" w:eastAsia="zh-CN"/>
        </w:rPr>
        <w:t>近年来，中国科协企业创新服务中心致力于推动开展“百业科普”新质生产力科普展，鼓励园区企业开展科技资源科普化工作，通过搭平台、做示范、带系统，广泛动员园区企业科协</w:t>
      </w:r>
      <w:r>
        <w:rPr>
          <w:rFonts w:hint="eastAsia" w:ascii="仿宋_GB2312" w:hAnsi="仿宋_GB2312" w:eastAsia="仿宋_GB2312" w:cs="仿宋_GB2312"/>
          <w:sz w:val="32"/>
          <w:szCs w:val="32"/>
          <w:lang w:val="en-US" w:eastAsia="zh-CN"/>
        </w:rPr>
        <w:t>在所属区域开展形式多样的科普活动，积极营造良好创新氛围。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kern w:val="2"/>
          <w:sz w:val="32"/>
          <w:szCs w:val="32"/>
          <w:lang w:val="en-US" w:eastAsia="zh-CN"/>
        </w:rPr>
      </w:pPr>
      <w:r>
        <w:rPr>
          <w:rFonts w:hint="eastAsia" w:ascii="仿宋_GB2312" w:hAnsi="仿宋_GB2312" w:eastAsia="仿宋_GB2312" w:cs="仿宋_GB2312"/>
          <w:sz w:val="32"/>
          <w:szCs w:val="32"/>
          <w:lang w:val="en-US" w:eastAsia="zh-CN"/>
        </w:rPr>
        <w:t>2024年9月，</w:t>
      </w:r>
      <w:r>
        <w:rPr>
          <w:rFonts w:hint="eastAsia" w:ascii="仿宋_GB2312" w:eastAsia="仿宋_GB2312"/>
          <w:kern w:val="2"/>
          <w:sz w:val="32"/>
          <w:szCs w:val="32"/>
          <w:lang w:val="en-US" w:eastAsia="zh-CN"/>
        </w:rPr>
        <w:t>中国科协</w:t>
      </w:r>
      <w:r>
        <w:rPr>
          <w:rFonts w:hint="eastAsia" w:ascii="仿宋_GB2312" w:hAnsi="仿宋_GB2312" w:eastAsia="仿宋_GB2312" w:cs="仿宋_GB2312"/>
          <w:sz w:val="32"/>
          <w:szCs w:val="32"/>
          <w:lang w:val="en-US" w:eastAsia="zh-CN"/>
        </w:rPr>
        <w:t>企业创新服务中心</w:t>
      </w:r>
      <w:r>
        <w:rPr>
          <w:rFonts w:hint="eastAsia" w:ascii="仿宋_GB2312" w:hAnsi="仿宋_GB2312" w:eastAsia="仿宋_GB2312" w:cs="仿宋_GB2312"/>
          <w:sz w:val="32"/>
          <w:szCs w:val="32"/>
          <w:lang w:eastAsia="zh-CN"/>
        </w:rPr>
        <w:t>在国家科技传播中心举办以“创新谋发展，科普向心力”为主题的新质生产力科技创新产品科普展，</w:t>
      </w:r>
      <w:r>
        <w:rPr>
          <w:rFonts w:hint="eastAsia" w:ascii="仿宋_GB2312" w:hAnsi="仿宋_GB2312" w:eastAsia="仿宋_GB2312" w:cs="仿宋_GB2312"/>
          <w:sz w:val="32"/>
          <w:szCs w:val="32"/>
          <w:lang w:val="en-US" w:eastAsia="zh-CN"/>
        </w:rPr>
        <w:t>面向</w:t>
      </w:r>
      <w:r>
        <w:rPr>
          <w:rFonts w:hint="eastAsia" w:ascii="仿宋_GB2312" w:hAnsi="仿宋_GB2312" w:eastAsia="仿宋_GB2312" w:cs="仿宋_GB2312"/>
          <w:sz w:val="32"/>
          <w:szCs w:val="32"/>
        </w:rPr>
        <w:t>各类企业征集科技创新产品200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件（套）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经专家</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遴选出38件（套）展品于全国科普日期间展出，</w:t>
      </w:r>
      <w:r>
        <w:rPr>
          <w:rFonts w:hint="eastAsia" w:ascii="仿宋_GB2312" w:hAnsi="仿宋_GB2312" w:eastAsia="仿宋_GB2312" w:cs="仿宋_GB2312"/>
          <w:sz w:val="32"/>
          <w:szCs w:val="32"/>
          <w:lang w:val="en-US" w:eastAsia="zh-CN"/>
        </w:rPr>
        <w:t>获</w:t>
      </w:r>
      <w:r>
        <w:rPr>
          <w:rFonts w:hint="eastAsia" w:ascii="仿宋_GB2312" w:hAnsi="仿宋_GB2312" w:eastAsia="仿宋_GB2312" w:cs="仿宋_GB2312"/>
          <w:sz w:val="32"/>
          <w:szCs w:val="32"/>
          <w:lang w:eastAsia="zh-CN"/>
        </w:rPr>
        <w:t>中央电视台和光明日报等多家国家级媒体报道。</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eastAsia="仿宋_GB2312"/>
          <w:kern w:val="2"/>
          <w:sz w:val="32"/>
          <w:szCs w:val="32"/>
          <w:lang w:val="en-US" w:eastAsia="zh-CN"/>
        </w:rPr>
        <w:t>2025年9月，在新疆维吾尔自治区成立70周年之际，中国科协</w:t>
      </w:r>
      <w:r>
        <w:rPr>
          <w:rFonts w:hint="eastAsia" w:ascii="仿宋_GB2312" w:hAnsi="仿宋_GB2312" w:eastAsia="仿宋_GB2312" w:cs="仿宋_GB2312"/>
          <w:spacing w:val="-6"/>
          <w:sz w:val="32"/>
          <w:szCs w:val="32"/>
          <w:lang w:val="en-US" w:eastAsia="zh-CN"/>
        </w:rPr>
        <w:t>企业创新服务中心与新疆维吾尔自治区科协在新疆科技馆联合举办“科技与现代文明同行”体验展，共</w:t>
      </w:r>
      <w:r>
        <w:rPr>
          <w:rFonts w:hint="eastAsia" w:ascii="仿宋_GB2312" w:hAnsi="仿宋_GB2312" w:eastAsia="仿宋_GB2312"/>
          <w:color w:val="000000"/>
          <w:kern w:val="0"/>
          <w:sz w:val="32"/>
          <w:szCs w:val="32"/>
          <w:lang w:val="en-US" w:eastAsia="zh-CN"/>
        </w:rPr>
        <w:t>面向各类企业征集人工智能领域展品93件，经遴选后确定</w:t>
      </w:r>
      <w:r>
        <w:rPr>
          <w:rFonts w:hint="eastAsia" w:ascii="仿宋_GB2312" w:hAnsi="仿宋_GB2312" w:eastAsia="仿宋_GB2312" w:cs="仿宋_GB2312"/>
          <w:spacing w:val="-6"/>
          <w:sz w:val="32"/>
          <w:szCs w:val="32"/>
          <w:lang w:val="en-US" w:eastAsia="zh-CN"/>
        </w:rPr>
        <w:t>26件展品展出，</w:t>
      </w:r>
      <w:r>
        <w:rPr>
          <w:rFonts w:hint="eastAsia" w:ascii="仿宋_GB2312" w:hAnsi="仿宋_GB2312" w:eastAsia="仿宋_GB2312"/>
          <w:color w:val="000000"/>
          <w:kern w:val="0"/>
          <w:sz w:val="32"/>
          <w:szCs w:val="32"/>
          <w:lang w:val="en-US" w:eastAsia="zh-CN"/>
        </w:rPr>
        <w:t>获中央电视台《焦点访谈》栏目及45家主流媒体深度报道。</w:t>
      </w:r>
      <w:r>
        <w:rPr>
          <w:rFonts w:hint="eastAsia" w:ascii="仿宋_GB2312" w:hAnsi="仿宋_GB2312" w:eastAsia="仿宋_GB2312" w:cs="仿宋_GB2312"/>
          <w:spacing w:val="-6"/>
          <w:sz w:val="32"/>
          <w:szCs w:val="32"/>
          <w:lang w:val="en-US" w:eastAsia="zh-CN"/>
        </w:rPr>
        <w:t>其中，5件展品入选新疆维吾尔自治区成立70周年主题成就展，取得良好反响。</w:t>
      </w:r>
    </w:p>
    <w:p>
      <w:pPr>
        <w:pStyle w:val="15"/>
        <w:spacing w:line="360" w:lineRule="auto"/>
        <w:ind w:left="0" w:leftChars="0" w:right="320" w:firstLine="0" w:firstLineChars="0"/>
        <w:jc w:val="left"/>
        <w:rPr>
          <w:rFonts w:hint="default" w:ascii="仿宋_GB2312" w:hAnsi="仿宋_GB2312" w:eastAsia="仿宋_GB2312" w:cs="仿宋_GB2312"/>
          <w:w w:val="95"/>
          <w:sz w:val="32"/>
          <w:szCs w:val="32"/>
          <w:lang w:val="en-US" w:eastAsia="zh-CN"/>
        </w:rPr>
      </w:pPr>
      <w:r>
        <w:rPr>
          <w:rFonts w:hint="default" w:ascii="仿宋_GB2312" w:hAnsi="仿宋_GB2312" w:eastAsia="仿宋_GB2312" w:cs="仿宋_GB2312"/>
          <w:w w:val="95"/>
          <w:sz w:val="32"/>
          <w:szCs w:val="32"/>
          <w:lang w:val="en-US" w:eastAsia="zh-CN"/>
        </w:rPr>
        <w:drawing>
          <wp:inline distT="0" distB="0" distL="114300" distR="114300">
            <wp:extent cx="5278755" cy="2978150"/>
            <wp:effectExtent l="0" t="0" r="17145" b="12700"/>
            <wp:docPr id="1" name="图片 1" descr="18e3ff5f96ca3f6a60aef95da57d0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e3ff5f96ca3f6a60aef95da57d0a3d"/>
                    <pic:cNvPicPr>
                      <a:picLocks noChangeAspect="1"/>
                    </pic:cNvPicPr>
                  </pic:nvPicPr>
                  <pic:blipFill>
                    <a:blip r:embed="rId5"/>
                    <a:stretch>
                      <a:fillRect/>
                    </a:stretch>
                  </pic:blipFill>
                  <pic:spPr>
                    <a:xfrm>
                      <a:off x="0" y="0"/>
                      <a:ext cx="5278755" cy="2978150"/>
                    </a:xfrm>
                    <a:prstGeom prst="rect">
                      <a:avLst/>
                    </a:prstGeom>
                  </pic:spPr>
                </pic:pic>
              </a:graphicData>
            </a:graphic>
          </wp:inline>
        </w:drawing>
      </w:r>
    </w:p>
    <w:p>
      <w:pPr>
        <w:pStyle w:val="15"/>
        <w:spacing w:line="360" w:lineRule="auto"/>
        <w:ind w:left="0" w:leftChars="0" w:right="320" w:firstLine="0" w:firstLineChars="0"/>
        <w:jc w:val="center"/>
        <w:rPr>
          <w:rFonts w:hint="default" w:ascii="仿宋_GB2312" w:hAnsi="仿宋_GB2312" w:eastAsia="仿宋_GB2312" w:cs="仿宋_GB2312"/>
          <w:w w:val="95"/>
          <w:sz w:val="28"/>
          <w:szCs w:val="28"/>
          <w:lang w:val="en-US" w:eastAsia="zh-CN"/>
        </w:rPr>
      </w:pPr>
      <w:r>
        <w:rPr>
          <w:rFonts w:hint="eastAsia" w:ascii="仿宋_GB2312" w:hAnsi="仿宋_GB2312" w:eastAsia="仿宋_GB2312"/>
          <w:color w:val="000000"/>
          <w:kern w:val="0"/>
          <w:sz w:val="28"/>
          <w:szCs w:val="28"/>
          <w:lang w:val="en-US" w:eastAsia="zh-CN"/>
        </w:rPr>
        <w:t>《焦点访谈》栏目深度报道</w:t>
      </w:r>
      <w:r>
        <w:rPr>
          <w:rFonts w:hint="eastAsia" w:ascii="仿宋_GB2312" w:hAnsi="仿宋_GB2312" w:eastAsia="仿宋_GB2312" w:cs="仿宋_GB2312"/>
          <w:w w:val="95"/>
          <w:sz w:val="28"/>
          <w:szCs w:val="28"/>
          <w:lang w:val="en-US" w:eastAsia="zh-CN"/>
        </w:rPr>
        <w:t>“体验展”</w:t>
      </w:r>
    </w:p>
    <w:sectPr>
      <w:pgSz w:w="11907" w:h="16840"/>
      <w:pgMar w:top="1701" w:right="1739" w:bottom="851" w:left="1848" w:header="0" w:footer="1446" w:gutter="0"/>
      <w:pgNumType w:fmt="decimal"/>
      <w:cols w:space="425"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AD"/>
    <w:rsid w:val="000120C6"/>
    <w:rsid w:val="00022AD3"/>
    <w:rsid w:val="00067123"/>
    <w:rsid w:val="000A0594"/>
    <w:rsid w:val="000A28B4"/>
    <w:rsid w:val="000C46A0"/>
    <w:rsid w:val="000C502E"/>
    <w:rsid w:val="001A3807"/>
    <w:rsid w:val="00207254"/>
    <w:rsid w:val="00236197"/>
    <w:rsid w:val="00245F50"/>
    <w:rsid w:val="00290629"/>
    <w:rsid w:val="002B2C3E"/>
    <w:rsid w:val="00325D96"/>
    <w:rsid w:val="00343A14"/>
    <w:rsid w:val="00361DBC"/>
    <w:rsid w:val="004536C6"/>
    <w:rsid w:val="00480751"/>
    <w:rsid w:val="00485A46"/>
    <w:rsid w:val="004B7068"/>
    <w:rsid w:val="005D19F7"/>
    <w:rsid w:val="005D7E61"/>
    <w:rsid w:val="005E31B6"/>
    <w:rsid w:val="00614011"/>
    <w:rsid w:val="00662C52"/>
    <w:rsid w:val="00680ABC"/>
    <w:rsid w:val="00697C2E"/>
    <w:rsid w:val="006A6932"/>
    <w:rsid w:val="006C1D4E"/>
    <w:rsid w:val="006D05FB"/>
    <w:rsid w:val="006D7DD1"/>
    <w:rsid w:val="006E6810"/>
    <w:rsid w:val="007036B8"/>
    <w:rsid w:val="00705D11"/>
    <w:rsid w:val="007630F9"/>
    <w:rsid w:val="00774204"/>
    <w:rsid w:val="00783A68"/>
    <w:rsid w:val="007960FE"/>
    <w:rsid w:val="00823B6D"/>
    <w:rsid w:val="0086391D"/>
    <w:rsid w:val="008647B2"/>
    <w:rsid w:val="009432C7"/>
    <w:rsid w:val="00984772"/>
    <w:rsid w:val="009C5B8E"/>
    <w:rsid w:val="009D773D"/>
    <w:rsid w:val="009E1082"/>
    <w:rsid w:val="00A661A0"/>
    <w:rsid w:val="00A666DA"/>
    <w:rsid w:val="00A77241"/>
    <w:rsid w:val="00AA0178"/>
    <w:rsid w:val="00AD2E59"/>
    <w:rsid w:val="00B06941"/>
    <w:rsid w:val="00B279DB"/>
    <w:rsid w:val="00B90DAD"/>
    <w:rsid w:val="00B97564"/>
    <w:rsid w:val="00BB24AC"/>
    <w:rsid w:val="00BB3B25"/>
    <w:rsid w:val="00BB501C"/>
    <w:rsid w:val="00BC27BC"/>
    <w:rsid w:val="00C007E2"/>
    <w:rsid w:val="00C01C17"/>
    <w:rsid w:val="00C12C1E"/>
    <w:rsid w:val="00C157E6"/>
    <w:rsid w:val="00C267A4"/>
    <w:rsid w:val="00C90E77"/>
    <w:rsid w:val="00D31665"/>
    <w:rsid w:val="00E83650"/>
    <w:rsid w:val="00EC5E63"/>
    <w:rsid w:val="00EC6ED9"/>
    <w:rsid w:val="00EE7792"/>
    <w:rsid w:val="00FA31DA"/>
    <w:rsid w:val="05C20793"/>
    <w:rsid w:val="062F259D"/>
    <w:rsid w:val="07AF1BE8"/>
    <w:rsid w:val="07CF19C8"/>
    <w:rsid w:val="093520B7"/>
    <w:rsid w:val="09A6526C"/>
    <w:rsid w:val="0B7D3DAB"/>
    <w:rsid w:val="0E6B1061"/>
    <w:rsid w:val="1081783C"/>
    <w:rsid w:val="11827430"/>
    <w:rsid w:val="119C7C5F"/>
    <w:rsid w:val="121A3B44"/>
    <w:rsid w:val="122B405F"/>
    <w:rsid w:val="12395081"/>
    <w:rsid w:val="14516480"/>
    <w:rsid w:val="1BE4624B"/>
    <w:rsid w:val="1D281CF6"/>
    <w:rsid w:val="1D3F0C06"/>
    <w:rsid w:val="1E25419C"/>
    <w:rsid w:val="1E2B1334"/>
    <w:rsid w:val="1F6EE813"/>
    <w:rsid w:val="1F7ED034"/>
    <w:rsid w:val="226C521C"/>
    <w:rsid w:val="234F2755"/>
    <w:rsid w:val="23C20B6F"/>
    <w:rsid w:val="242C017A"/>
    <w:rsid w:val="2B6E2CF3"/>
    <w:rsid w:val="2E2F9F56"/>
    <w:rsid w:val="2E9DC095"/>
    <w:rsid w:val="328A7263"/>
    <w:rsid w:val="33892E00"/>
    <w:rsid w:val="33B92435"/>
    <w:rsid w:val="33EBBA53"/>
    <w:rsid w:val="353101FF"/>
    <w:rsid w:val="35735BD7"/>
    <w:rsid w:val="35DD1E63"/>
    <w:rsid w:val="387B3855"/>
    <w:rsid w:val="38FD5173"/>
    <w:rsid w:val="397F0957"/>
    <w:rsid w:val="3BF7C294"/>
    <w:rsid w:val="3C3F604A"/>
    <w:rsid w:val="3C803D5B"/>
    <w:rsid w:val="3D25335F"/>
    <w:rsid w:val="3D7D7BCC"/>
    <w:rsid w:val="3E021D6A"/>
    <w:rsid w:val="3E77B920"/>
    <w:rsid w:val="3E7BFC13"/>
    <w:rsid w:val="3ECB67D5"/>
    <w:rsid w:val="3ECE3226"/>
    <w:rsid w:val="3EDF5B33"/>
    <w:rsid w:val="3EFD6641"/>
    <w:rsid w:val="3F98F467"/>
    <w:rsid w:val="3F9C2966"/>
    <w:rsid w:val="3FBBDFE7"/>
    <w:rsid w:val="3FDFCDA0"/>
    <w:rsid w:val="3FF74801"/>
    <w:rsid w:val="3FFE04EA"/>
    <w:rsid w:val="3FFF2396"/>
    <w:rsid w:val="3FFF31F3"/>
    <w:rsid w:val="40F535B4"/>
    <w:rsid w:val="44292A1B"/>
    <w:rsid w:val="488826EB"/>
    <w:rsid w:val="4C2E9FE3"/>
    <w:rsid w:val="4C46543A"/>
    <w:rsid w:val="4D674D4C"/>
    <w:rsid w:val="4D7A59AF"/>
    <w:rsid w:val="4EDC7816"/>
    <w:rsid w:val="4FFD4210"/>
    <w:rsid w:val="4FFE9728"/>
    <w:rsid w:val="506B0941"/>
    <w:rsid w:val="528950C4"/>
    <w:rsid w:val="52D94D38"/>
    <w:rsid w:val="53AE0899"/>
    <w:rsid w:val="53E61ABA"/>
    <w:rsid w:val="54023533"/>
    <w:rsid w:val="553EF11D"/>
    <w:rsid w:val="58882E72"/>
    <w:rsid w:val="5A7F5CA9"/>
    <w:rsid w:val="5B394FE8"/>
    <w:rsid w:val="5B5F19B8"/>
    <w:rsid w:val="5BFB854D"/>
    <w:rsid w:val="5D3C5168"/>
    <w:rsid w:val="5DFE7FF6"/>
    <w:rsid w:val="5EA41F76"/>
    <w:rsid w:val="5EDDCBCF"/>
    <w:rsid w:val="5F7F5074"/>
    <w:rsid w:val="5FFF7ED9"/>
    <w:rsid w:val="63D647C3"/>
    <w:rsid w:val="646507D9"/>
    <w:rsid w:val="65EC1F2B"/>
    <w:rsid w:val="67EEA10C"/>
    <w:rsid w:val="69DA0332"/>
    <w:rsid w:val="6A332842"/>
    <w:rsid w:val="6AD246EE"/>
    <w:rsid w:val="6AD466B8"/>
    <w:rsid w:val="6DBAC8B2"/>
    <w:rsid w:val="6EBD5D14"/>
    <w:rsid w:val="6EDEDA34"/>
    <w:rsid w:val="6F060BF4"/>
    <w:rsid w:val="6F3DF546"/>
    <w:rsid w:val="6F6570AA"/>
    <w:rsid w:val="6FB6DDFA"/>
    <w:rsid w:val="6FDD0C8C"/>
    <w:rsid w:val="6FDF47D2"/>
    <w:rsid w:val="6FF77A3B"/>
    <w:rsid w:val="6FFEE0E0"/>
    <w:rsid w:val="727486D5"/>
    <w:rsid w:val="73FDA362"/>
    <w:rsid w:val="743EDD14"/>
    <w:rsid w:val="74C5658F"/>
    <w:rsid w:val="755E7DA1"/>
    <w:rsid w:val="75DBD85B"/>
    <w:rsid w:val="75EB30DB"/>
    <w:rsid w:val="7777CA93"/>
    <w:rsid w:val="779961A4"/>
    <w:rsid w:val="77BF7935"/>
    <w:rsid w:val="77EB5DC4"/>
    <w:rsid w:val="77F3E4C5"/>
    <w:rsid w:val="77FE07D7"/>
    <w:rsid w:val="79DD7A63"/>
    <w:rsid w:val="79FFCFD3"/>
    <w:rsid w:val="7A5E1AFB"/>
    <w:rsid w:val="7AEF1404"/>
    <w:rsid w:val="7B4DDB21"/>
    <w:rsid w:val="7BD7530F"/>
    <w:rsid w:val="7BEF2242"/>
    <w:rsid w:val="7BF62CCF"/>
    <w:rsid w:val="7BFFE46D"/>
    <w:rsid w:val="7BFFE5C0"/>
    <w:rsid w:val="7C743768"/>
    <w:rsid w:val="7D236653"/>
    <w:rsid w:val="7D3F5677"/>
    <w:rsid w:val="7D6C88AB"/>
    <w:rsid w:val="7DD64561"/>
    <w:rsid w:val="7DDEF76B"/>
    <w:rsid w:val="7E3F7740"/>
    <w:rsid w:val="7E7F0CD8"/>
    <w:rsid w:val="7E7F6017"/>
    <w:rsid w:val="7EFF4157"/>
    <w:rsid w:val="7F05390A"/>
    <w:rsid w:val="7F5C28DD"/>
    <w:rsid w:val="7F7D79D9"/>
    <w:rsid w:val="7F933C3B"/>
    <w:rsid w:val="7FAFE819"/>
    <w:rsid w:val="7FD63DC6"/>
    <w:rsid w:val="7FD9F44E"/>
    <w:rsid w:val="7FDF13BD"/>
    <w:rsid w:val="7FE77820"/>
    <w:rsid w:val="7FFDFE92"/>
    <w:rsid w:val="8DFDA934"/>
    <w:rsid w:val="8FEF0F59"/>
    <w:rsid w:val="967DB4D2"/>
    <w:rsid w:val="97B3E99B"/>
    <w:rsid w:val="97FD6BEA"/>
    <w:rsid w:val="9E6FE133"/>
    <w:rsid w:val="9F5BA401"/>
    <w:rsid w:val="A5F4E2D2"/>
    <w:rsid w:val="A739D671"/>
    <w:rsid w:val="A7FC4B08"/>
    <w:rsid w:val="AEDD1243"/>
    <w:rsid w:val="AEFFAAFC"/>
    <w:rsid w:val="AFF37EEE"/>
    <w:rsid w:val="B2FF7CCA"/>
    <w:rsid w:val="B47FD096"/>
    <w:rsid w:val="B58BA76F"/>
    <w:rsid w:val="BADDF20F"/>
    <w:rsid w:val="BCBEA864"/>
    <w:rsid w:val="BDFBD0AC"/>
    <w:rsid w:val="BE7FCBAF"/>
    <w:rsid w:val="BF72A749"/>
    <w:rsid w:val="BFBBDB5A"/>
    <w:rsid w:val="BFDA876F"/>
    <w:rsid w:val="CEFF06F5"/>
    <w:rsid w:val="CFFF649F"/>
    <w:rsid w:val="D5928B65"/>
    <w:rsid w:val="D6FF9168"/>
    <w:rsid w:val="D77F755E"/>
    <w:rsid w:val="D7FF1C21"/>
    <w:rsid w:val="DAFEAE46"/>
    <w:rsid w:val="DBD7912A"/>
    <w:rsid w:val="DBF1BFCD"/>
    <w:rsid w:val="DEAD58CC"/>
    <w:rsid w:val="DEFEA033"/>
    <w:rsid w:val="DF793478"/>
    <w:rsid w:val="E77BF7D8"/>
    <w:rsid w:val="E7EF3190"/>
    <w:rsid w:val="E92FF208"/>
    <w:rsid w:val="E9B7469E"/>
    <w:rsid w:val="ED7EE2EF"/>
    <w:rsid w:val="EDDE39D0"/>
    <w:rsid w:val="EDEF5201"/>
    <w:rsid w:val="EED9C1B7"/>
    <w:rsid w:val="EEFF6343"/>
    <w:rsid w:val="EFC794F3"/>
    <w:rsid w:val="EFF301C8"/>
    <w:rsid w:val="EFF7F559"/>
    <w:rsid w:val="F353C000"/>
    <w:rsid w:val="F46D54E8"/>
    <w:rsid w:val="F4EEE212"/>
    <w:rsid w:val="F5BC1FFB"/>
    <w:rsid w:val="F5F3F626"/>
    <w:rsid w:val="F67EF55F"/>
    <w:rsid w:val="F77E4A64"/>
    <w:rsid w:val="F7FF7D24"/>
    <w:rsid w:val="F8F7C209"/>
    <w:rsid w:val="F96E999E"/>
    <w:rsid w:val="F9DFBCE9"/>
    <w:rsid w:val="FA57CFFD"/>
    <w:rsid w:val="FB7FF637"/>
    <w:rsid w:val="FB9F1B57"/>
    <w:rsid w:val="FBBDA603"/>
    <w:rsid w:val="FBBF4A1D"/>
    <w:rsid w:val="FBF14A96"/>
    <w:rsid w:val="FBF7A878"/>
    <w:rsid w:val="FCF602B0"/>
    <w:rsid w:val="FDAC17CC"/>
    <w:rsid w:val="FDBFE8B0"/>
    <w:rsid w:val="FDF5E42B"/>
    <w:rsid w:val="FE2B5039"/>
    <w:rsid w:val="FE737365"/>
    <w:rsid w:val="FEB7C86C"/>
    <w:rsid w:val="FEDD198F"/>
    <w:rsid w:val="FEEB6CCD"/>
    <w:rsid w:val="FEF7954A"/>
    <w:rsid w:val="FEFC50BB"/>
    <w:rsid w:val="FF2EB080"/>
    <w:rsid w:val="FF533D0D"/>
    <w:rsid w:val="FF6E2BF7"/>
    <w:rsid w:val="FF7D9C67"/>
    <w:rsid w:val="FFB515C7"/>
    <w:rsid w:val="FFE78160"/>
    <w:rsid w:val="FFEDE656"/>
    <w:rsid w:val="FFF3777F"/>
    <w:rsid w:val="FFFB0E99"/>
    <w:rsid w:val="FFFD09AD"/>
    <w:rsid w:val="FFFDA89D"/>
    <w:rsid w:val="FFFEC0AE"/>
    <w:rsid w:val="FFFFE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qFormat/>
    <w:uiPriority w:val="0"/>
    <w:pPr>
      <w:spacing w:after="120"/>
      <w:ind w:left="420" w:leftChars="200"/>
    </w:pPr>
    <w:rPr>
      <w:rFonts w:ascii="Times New Roman" w:hAnsi="Times New Roman"/>
    </w:rPr>
  </w:style>
  <w:style w:type="paragraph" w:styleId="5">
    <w:name w:val="footer"/>
    <w:basedOn w:val="1"/>
    <w:link w:val="13"/>
    <w:qFormat/>
    <w:uiPriority w:val="0"/>
    <w:pPr>
      <w:tabs>
        <w:tab w:val="center" w:pos="4153"/>
        <w:tab w:val="right" w:pos="8306"/>
      </w:tabs>
    </w:pPr>
    <w:rPr>
      <w:sz w:val="20"/>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character" w:styleId="10">
    <w:name w:val="Strong"/>
    <w:basedOn w:val="9"/>
    <w:qFormat/>
    <w:uiPriority w:val="22"/>
    <w:rPr>
      <w:b/>
    </w:rPr>
  </w:style>
  <w:style w:type="character" w:styleId="11">
    <w:name w:val="page number"/>
    <w:basedOn w:val="9"/>
    <w:qFormat/>
    <w:uiPriority w:val="0"/>
  </w:style>
  <w:style w:type="character" w:styleId="12">
    <w:name w:val="Emphasis"/>
    <w:basedOn w:val="9"/>
    <w:qFormat/>
    <w:uiPriority w:val="20"/>
    <w:rPr>
      <w:i/>
    </w:rPr>
  </w:style>
  <w:style w:type="character" w:customStyle="1" w:styleId="13">
    <w:name w:val="页脚 字符"/>
    <w:basedOn w:val="9"/>
    <w:link w:val="5"/>
    <w:qFormat/>
    <w:uiPriority w:val="0"/>
    <w:rPr>
      <w:rFonts w:ascii="Times New Roman" w:hAnsi="Times New Roman" w:eastAsia="宋体" w:cs="Times New Roman"/>
      <w:kern w:val="0"/>
      <w:sz w:val="20"/>
      <w:szCs w:val="20"/>
    </w:rPr>
  </w:style>
  <w:style w:type="character" w:customStyle="1" w:styleId="14">
    <w:name w:val="页眉 字符"/>
    <w:basedOn w:val="9"/>
    <w:link w:val="6"/>
    <w:qFormat/>
    <w:uiPriority w:val="99"/>
    <w:rPr>
      <w:rFonts w:ascii="Times New Roman" w:hAnsi="Times New Roman" w:eastAsia="宋体" w:cs="Times New Roman"/>
      <w:kern w:val="0"/>
      <w:sz w:val="18"/>
      <w:szCs w:val="18"/>
    </w:rPr>
  </w:style>
  <w:style w:type="paragraph" w:styleId="15">
    <w:name w:val="List Paragraph"/>
    <w:basedOn w:val="1"/>
    <w:qFormat/>
    <w:uiPriority w:val="34"/>
    <w:pPr>
      <w:widowControl w:val="0"/>
      <w:overflowPunct/>
      <w:autoSpaceDE/>
      <w:autoSpaceDN/>
      <w:adjustRightInd/>
      <w:ind w:firstLine="420" w:firstLineChars="200"/>
      <w:textAlignment w:val="auto"/>
    </w:pPr>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7</Pages>
  <Words>2367</Words>
  <Characters>2493</Characters>
  <Lines>2</Lines>
  <Paragraphs>1</Paragraphs>
  <TotalTime>28</TotalTime>
  <ScaleCrop>false</ScaleCrop>
  <LinksUpToDate>false</LinksUpToDate>
  <CharactersWithSpaces>2598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2021-12-27T09:41:00Z</dcterms:created>
  <dc:creator>董阳</dc:creator>
  <cp:lastModifiedBy>Administrator</cp:lastModifiedBy>
  <cp:lastPrinted>2025-07-15T08:45:00Z</cp:lastPrinted>
  <dcterms:modified xsi:type="dcterms:W3CDTF">2026-02-04T03:23:47Z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eyJoZGlkIjoiMTU1MjkzMjczYzE5ODI1YzE1NGI2MTNiMmZiZmI0ODYiLCJ1c2VySWQiOiI0NTI2NzkzMDYifQ==</vt:lpwstr>
  </property>
  <property fmtid="{D5CDD505-2E9C-101B-9397-08002B2CF9AE}" pid="4" name="ICV">
    <vt:lpwstr>79CDC97C4FEF4523A43924BA33E36C17</vt:lpwstr>
  </property>
</Properties>
</file>